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814" w:rsidRPr="00F0090B" w:rsidRDefault="00D54814" w:rsidP="00AA1F8F">
      <w:pPr>
        <w:spacing w:before="200" w:after="0" w:line="360" w:lineRule="auto"/>
        <w:jc w:val="both"/>
        <w:rPr>
          <w:rFonts w:ascii="Garamond" w:hAnsi="Garamond" w:cs="Arial"/>
          <w:b/>
          <w:sz w:val="20"/>
          <w:szCs w:val="20"/>
          <w:lang w:val="pt-PT"/>
        </w:rPr>
      </w:pPr>
      <w:r w:rsidRPr="00F0090B">
        <w:rPr>
          <w:rFonts w:ascii="Garamond" w:hAnsi="Garamond" w:cs="Arial"/>
          <w:b/>
          <w:sz w:val="20"/>
          <w:szCs w:val="20"/>
          <w:lang w:val="pt-PT"/>
        </w:rPr>
        <w:t xml:space="preserve">Comissão </w:t>
      </w:r>
      <w:r w:rsidR="00D209BF" w:rsidRPr="00F0090B">
        <w:rPr>
          <w:rFonts w:ascii="Garamond" w:hAnsi="Garamond" w:cs="Arial"/>
          <w:b/>
          <w:sz w:val="20"/>
          <w:szCs w:val="20"/>
          <w:lang w:val="pt-PT"/>
        </w:rPr>
        <w:t xml:space="preserve">Parlamentar </w:t>
      </w:r>
      <w:r w:rsidRPr="00F0090B">
        <w:rPr>
          <w:rFonts w:ascii="Garamond" w:hAnsi="Garamond" w:cs="Arial"/>
          <w:b/>
          <w:sz w:val="20"/>
          <w:szCs w:val="20"/>
          <w:lang w:val="pt-PT"/>
        </w:rPr>
        <w:t xml:space="preserve">de Inquérito aos programas relativos à aquisição de equipamentos </w:t>
      </w:r>
      <w:proofErr w:type="gramStart"/>
      <w:r w:rsidRPr="00F0090B">
        <w:rPr>
          <w:rFonts w:ascii="Garamond" w:hAnsi="Garamond" w:cs="Arial"/>
          <w:b/>
          <w:sz w:val="20"/>
          <w:szCs w:val="20"/>
          <w:lang w:val="pt-PT"/>
        </w:rPr>
        <w:t>militares</w:t>
      </w:r>
      <w:proofErr w:type="gramEnd"/>
      <w:r w:rsidRPr="00F0090B">
        <w:rPr>
          <w:rFonts w:ascii="Garamond" w:hAnsi="Garamond" w:cs="Arial"/>
          <w:b/>
          <w:sz w:val="20"/>
          <w:szCs w:val="20"/>
          <w:lang w:val="pt-PT"/>
        </w:rPr>
        <w:t xml:space="preserve"> (EH-101, P-3 </w:t>
      </w:r>
      <w:proofErr w:type="spellStart"/>
      <w:r w:rsidRPr="00F0090B">
        <w:rPr>
          <w:rFonts w:ascii="Garamond" w:hAnsi="Garamond" w:cs="Arial"/>
          <w:b/>
          <w:sz w:val="20"/>
          <w:szCs w:val="20"/>
          <w:lang w:val="pt-PT"/>
        </w:rPr>
        <w:t>Orion</w:t>
      </w:r>
      <w:proofErr w:type="spellEnd"/>
      <w:r w:rsidRPr="00F0090B">
        <w:rPr>
          <w:rFonts w:ascii="Garamond" w:hAnsi="Garamond" w:cs="Arial"/>
          <w:b/>
          <w:sz w:val="20"/>
          <w:szCs w:val="20"/>
          <w:lang w:val="pt-PT"/>
        </w:rPr>
        <w:t xml:space="preserve">, C-295, torpedos, F-16, submarinos, </w:t>
      </w:r>
      <w:proofErr w:type="spellStart"/>
      <w:r w:rsidRPr="00F0090B">
        <w:rPr>
          <w:rFonts w:ascii="Garamond" w:hAnsi="Garamond" w:cs="Arial"/>
          <w:b/>
          <w:sz w:val="20"/>
          <w:szCs w:val="20"/>
          <w:lang w:val="pt-PT"/>
        </w:rPr>
        <w:t>Pandur</w:t>
      </w:r>
      <w:proofErr w:type="spellEnd"/>
      <w:r w:rsidR="008A495C" w:rsidRPr="00F0090B">
        <w:rPr>
          <w:rFonts w:ascii="Garamond" w:hAnsi="Garamond" w:cs="Arial"/>
          <w:b/>
          <w:sz w:val="20"/>
          <w:szCs w:val="20"/>
          <w:lang w:val="pt-PT"/>
        </w:rPr>
        <w:t xml:space="preserve"> </w:t>
      </w:r>
      <w:r w:rsidRPr="00F0090B">
        <w:rPr>
          <w:rFonts w:ascii="Garamond" w:hAnsi="Garamond" w:cs="Arial"/>
          <w:b/>
          <w:sz w:val="20"/>
          <w:szCs w:val="20"/>
          <w:lang w:val="pt-PT"/>
        </w:rPr>
        <w:t>II)</w:t>
      </w:r>
    </w:p>
    <w:p w:rsidR="00D54814" w:rsidRPr="002F3A42" w:rsidRDefault="00D54814" w:rsidP="00AA1F8F">
      <w:pPr>
        <w:spacing w:after="0" w:line="360" w:lineRule="auto"/>
        <w:ind w:firstLine="425"/>
        <w:jc w:val="both"/>
        <w:rPr>
          <w:rFonts w:ascii="Garamond" w:hAnsi="Garamond" w:cs="Arial"/>
          <w:sz w:val="26"/>
          <w:szCs w:val="26"/>
          <w:lang w:val="pt-PT"/>
        </w:rPr>
      </w:pPr>
    </w:p>
    <w:p w:rsidR="000E0F6C" w:rsidRDefault="000E0F6C" w:rsidP="00AA1F8F">
      <w:pPr>
        <w:spacing w:after="0" w:line="360" w:lineRule="auto"/>
        <w:jc w:val="both"/>
        <w:rPr>
          <w:rFonts w:ascii="Garamond" w:hAnsi="Garamond" w:cs="Arial"/>
          <w:sz w:val="24"/>
          <w:szCs w:val="24"/>
          <w:lang w:val="pt-PT"/>
        </w:rPr>
      </w:pPr>
    </w:p>
    <w:p w:rsidR="00F0090B" w:rsidRPr="00F0090B" w:rsidRDefault="00F0090B" w:rsidP="00F0090B">
      <w:pPr>
        <w:spacing w:after="0" w:line="360" w:lineRule="auto"/>
        <w:jc w:val="center"/>
        <w:rPr>
          <w:rFonts w:ascii="Garamond" w:hAnsi="Garamond" w:cs="Arial"/>
          <w:b/>
          <w:sz w:val="36"/>
          <w:szCs w:val="36"/>
          <w:lang w:val="pt-PT"/>
        </w:rPr>
      </w:pPr>
      <w:r w:rsidRPr="00F0090B">
        <w:rPr>
          <w:rFonts w:ascii="Garamond" w:hAnsi="Garamond" w:cs="Arial"/>
          <w:b/>
          <w:sz w:val="36"/>
          <w:szCs w:val="36"/>
          <w:lang w:val="pt-PT"/>
        </w:rPr>
        <w:t>A VERDADE DOS FACTOS</w:t>
      </w:r>
    </w:p>
    <w:p w:rsidR="00F0090B" w:rsidRPr="00F0090B" w:rsidRDefault="00DE22F5" w:rsidP="00F0090B">
      <w:pPr>
        <w:spacing w:after="0" w:line="360" w:lineRule="auto"/>
        <w:jc w:val="center"/>
        <w:rPr>
          <w:rFonts w:ascii="Garamond" w:hAnsi="Garamond" w:cs="Arial"/>
          <w:b/>
          <w:sz w:val="24"/>
          <w:szCs w:val="24"/>
          <w:lang w:val="pt-PT"/>
        </w:rPr>
      </w:pPr>
      <w:r>
        <w:rPr>
          <w:rFonts w:ascii="Garamond" w:hAnsi="Garamond" w:cs="Arial"/>
          <w:b/>
          <w:sz w:val="24"/>
          <w:szCs w:val="24"/>
          <w:lang w:val="pt-PT"/>
        </w:rPr>
        <w:t xml:space="preserve">- 35 ERROS E FALSIDADES </w:t>
      </w:r>
      <w:r w:rsidR="00F0090B" w:rsidRPr="00F0090B">
        <w:rPr>
          <w:rFonts w:ascii="Garamond" w:hAnsi="Garamond" w:cs="Arial"/>
          <w:b/>
          <w:sz w:val="24"/>
          <w:szCs w:val="24"/>
          <w:lang w:val="pt-PT"/>
        </w:rPr>
        <w:t>DO DOCUMENTO APRESENTADO PELO PS, PCP E BLOCO -</w:t>
      </w:r>
    </w:p>
    <w:p w:rsidR="00AA1F8F" w:rsidRPr="00AA1F8F" w:rsidRDefault="009D2252" w:rsidP="00AA1F8F">
      <w:pPr>
        <w:spacing w:line="360" w:lineRule="auto"/>
        <w:jc w:val="both"/>
        <w:rPr>
          <w:rFonts w:ascii="Garamond" w:hAnsi="Garamond"/>
          <w:lang w:val="pt-PT"/>
        </w:rPr>
      </w:pPr>
      <w:r>
        <w:rPr>
          <w:rFonts w:ascii="Garamond" w:hAnsi="Garamond"/>
          <w:lang w:val="pt-PT"/>
        </w:rPr>
        <w:t xml:space="preserve"> </w:t>
      </w:r>
    </w:p>
    <w:p w:rsidR="00AA1F8F" w:rsidRPr="00AA1F8F" w:rsidRDefault="00AA1F8F" w:rsidP="00AA1F8F">
      <w:pPr>
        <w:spacing w:line="360" w:lineRule="auto"/>
        <w:jc w:val="both"/>
        <w:rPr>
          <w:rFonts w:ascii="Garamond" w:hAnsi="Garamond"/>
          <w:lang w:val="pt-PT"/>
        </w:rPr>
      </w:pPr>
      <w:r w:rsidRPr="00AA1F8F">
        <w:rPr>
          <w:rFonts w:ascii="Garamond" w:hAnsi="Garamond"/>
          <w:b/>
          <w:bCs/>
          <w:sz w:val="40"/>
          <w:szCs w:val="40"/>
          <w:lang w:val="pt-PT"/>
        </w:rPr>
        <w:t>Um alerta a toda a gente</w:t>
      </w:r>
    </w:p>
    <w:p w:rsidR="00AA1F8F" w:rsidRPr="00AA1F8F" w:rsidRDefault="00AA1F8F" w:rsidP="00AA1F8F">
      <w:pPr>
        <w:spacing w:line="360" w:lineRule="auto"/>
        <w:jc w:val="both"/>
        <w:rPr>
          <w:rFonts w:ascii="Garamond" w:hAnsi="Garamond"/>
          <w:sz w:val="26"/>
          <w:szCs w:val="26"/>
          <w:lang w:val="pt-PT"/>
        </w:rPr>
      </w:pPr>
      <w:r w:rsidRPr="00AA1F8F">
        <w:rPr>
          <w:rFonts w:ascii="Garamond" w:hAnsi="Garamond"/>
          <w:sz w:val="26"/>
          <w:szCs w:val="26"/>
          <w:lang w:val="pt-PT"/>
        </w:rPr>
        <w:t>“A maioria PSD/PP abortou as investigações num ponto em tudo justificava que as mesmas fossem aprofundadas e ampliadas, designadamente juntando ao processo documentos obtidos junto do Ministério Público e provenientes das autoridades alemãs.”</w:t>
      </w:r>
    </w:p>
    <w:p w:rsidR="00AA1F8F" w:rsidRPr="00AA1F8F" w:rsidRDefault="00AA1F8F" w:rsidP="00AA1F8F">
      <w:pPr>
        <w:pBdr>
          <w:top w:val="single" w:sz="4" w:space="1" w:color="auto"/>
          <w:left w:val="single" w:sz="4" w:space="4" w:color="auto"/>
          <w:bottom w:val="single" w:sz="4" w:space="1" w:color="auto"/>
          <w:right w:val="single" w:sz="4" w:space="4" w:color="auto"/>
        </w:pBdr>
        <w:spacing w:line="360" w:lineRule="auto"/>
        <w:jc w:val="both"/>
        <w:rPr>
          <w:rFonts w:ascii="Garamond" w:hAnsi="Garamond"/>
          <w:sz w:val="24"/>
          <w:szCs w:val="24"/>
          <w:lang w:val="pt-PT"/>
        </w:rPr>
      </w:pPr>
      <w:r w:rsidRPr="00AA1F8F">
        <w:rPr>
          <w:rFonts w:ascii="Garamond" w:hAnsi="Garamond"/>
          <w:sz w:val="24"/>
          <w:szCs w:val="24"/>
          <w:lang w:val="pt-PT"/>
        </w:rPr>
        <w:t>A maioria não abortou as investigações. Prolongou por duas vezes o prazo e a última data foi proposta pelo PS. O Ministério Público</w:t>
      </w:r>
      <w:proofErr w:type="gramStart"/>
      <w:r w:rsidRPr="00AA1F8F">
        <w:rPr>
          <w:rFonts w:ascii="Garamond" w:hAnsi="Garamond"/>
          <w:sz w:val="24"/>
          <w:szCs w:val="24"/>
          <w:lang w:val="pt-PT"/>
        </w:rPr>
        <w:t>,</w:t>
      </w:r>
      <w:proofErr w:type="gramEnd"/>
      <w:r w:rsidRPr="00AA1F8F">
        <w:rPr>
          <w:rFonts w:ascii="Garamond" w:hAnsi="Garamond"/>
          <w:sz w:val="24"/>
          <w:szCs w:val="24"/>
          <w:lang w:val="pt-PT"/>
        </w:rPr>
        <w:t xml:space="preserve"> entendeu não poder enviar os documentos provenientes das autoridades alemãs nem os que fazem parte da investigação que decorre. </w:t>
      </w:r>
    </w:p>
    <w:p w:rsidR="00AA1F8F" w:rsidRPr="00AA1F8F" w:rsidRDefault="00AA1F8F" w:rsidP="00AA1F8F">
      <w:pPr>
        <w:pStyle w:val="Default"/>
        <w:spacing w:line="360" w:lineRule="auto"/>
        <w:jc w:val="both"/>
        <w:rPr>
          <w:rFonts w:ascii="Garamond" w:hAnsi="Garamond"/>
          <w:sz w:val="26"/>
          <w:szCs w:val="26"/>
        </w:rPr>
      </w:pPr>
      <w:r w:rsidRPr="00AA1F8F">
        <w:rPr>
          <w:rFonts w:ascii="Garamond" w:hAnsi="Garamond"/>
          <w:sz w:val="26"/>
          <w:szCs w:val="26"/>
        </w:rPr>
        <w:t xml:space="preserve">“É sabido que a justiça alemã condenou a </w:t>
      </w:r>
      <w:proofErr w:type="spellStart"/>
      <w:r w:rsidRPr="00AA1F8F">
        <w:rPr>
          <w:rFonts w:ascii="Garamond" w:hAnsi="Garamond"/>
          <w:sz w:val="26"/>
          <w:szCs w:val="26"/>
        </w:rPr>
        <w:t>Ferrostaal</w:t>
      </w:r>
      <w:proofErr w:type="spellEnd"/>
      <w:r w:rsidRPr="00AA1F8F">
        <w:rPr>
          <w:rFonts w:ascii="Garamond" w:hAnsi="Garamond"/>
          <w:sz w:val="26"/>
          <w:szCs w:val="26"/>
        </w:rPr>
        <w:t xml:space="preserve"> e dois dos seus gestores por terem corrompido decisores na Grécia e em Portugal. A Justiça grega condenou o ex-ministro da Defesa grego e colaboradores seus por corrupção passiva. </w:t>
      </w:r>
    </w:p>
    <w:p w:rsidR="00AA1F8F" w:rsidRPr="00AA1F8F" w:rsidRDefault="00AA1F8F" w:rsidP="00AA1F8F">
      <w:pPr>
        <w:spacing w:line="360" w:lineRule="auto"/>
        <w:jc w:val="both"/>
        <w:rPr>
          <w:rFonts w:ascii="Garamond" w:hAnsi="Garamond"/>
          <w:sz w:val="26"/>
          <w:szCs w:val="26"/>
          <w:lang w:val="pt-PT"/>
        </w:rPr>
      </w:pPr>
      <w:r w:rsidRPr="00AA1F8F">
        <w:rPr>
          <w:rFonts w:ascii="Garamond" w:hAnsi="Garamond"/>
          <w:sz w:val="26"/>
          <w:szCs w:val="26"/>
          <w:lang w:val="pt-PT"/>
        </w:rPr>
        <w:t>Depois de terem sido condenados os corruptores na Alemanha, os "corrompidos" em Portugal continuam protegidos por um manto de silêncio, é certo que cada vez mais ténue.”</w:t>
      </w:r>
    </w:p>
    <w:p w:rsidR="00AA1F8F" w:rsidRPr="00AA1F8F" w:rsidRDefault="00F0090B" w:rsidP="00AA1F8F">
      <w:pPr>
        <w:pBdr>
          <w:top w:val="single" w:sz="4" w:space="1" w:color="auto"/>
          <w:left w:val="single" w:sz="4" w:space="4" w:color="auto"/>
          <w:bottom w:val="single" w:sz="4" w:space="1" w:color="auto"/>
          <w:right w:val="single" w:sz="4" w:space="4" w:color="auto"/>
        </w:pBdr>
        <w:spacing w:line="360" w:lineRule="auto"/>
        <w:jc w:val="both"/>
        <w:rPr>
          <w:rFonts w:ascii="Garamond" w:hAnsi="Garamond"/>
          <w:sz w:val="24"/>
          <w:szCs w:val="24"/>
          <w:lang w:val="pt-PT"/>
        </w:rPr>
      </w:pPr>
      <w:r>
        <w:rPr>
          <w:rFonts w:ascii="Garamond" w:hAnsi="Garamond"/>
          <w:sz w:val="24"/>
          <w:szCs w:val="24"/>
          <w:lang w:val="pt-PT"/>
        </w:rPr>
        <w:t xml:space="preserve">Em audição na Comissão, um dos dirigentes da </w:t>
      </w:r>
      <w:proofErr w:type="spellStart"/>
      <w:r>
        <w:rPr>
          <w:rFonts w:ascii="Garamond" w:hAnsi="Garamond"/>
          <w:sz w:val="24"/>
          <w:szCs w:val="24"/>
          <w:lang w:val="pt-PT"/>
        </w:rPr>
        <w:t>Ferrostal</w:t>
      </w:r>
      <w:proofErr w:type="spellEnd"/>
      <w:r>
        <w:rPr>
          <w:rFonts w:ascii="Garamond" w:hAnsi="Garamond"/>
          <w:sz w:val="24"/>
          <w:szCs w:val="24"/>
          <w:lang w:val="pt-PT"/>
        </w:rPr>
        <w:t>,</w:t>
      </w:r>
      <w:r w:rsidR="00AA1F8F" w:rsidRPr="00AA1F8F">
        <w:rPr>
          <w:rFonts w:ascii="Garamond" w:hAnsi="Garamond"/>
          <w:sz w:val="24"/>
          <w:szCs w:val="24"/>
          <w:lang w:val="pt-PT"/>
        </w:rPr>
        <w:t xml:space="preserve"> condenado na Alemanha</w:t>
      </w:r>
      <w:r>
        <w:rPr>
          <w:rFonts w:ascii="Garamond" w:hAnsi="Garamond"/>
          <w:sz w:val="24"/>
          <w:szCs w:val="24"/>
          <w:lang w:val="pt-PT"/>
        </w:rPr>
        <w:t xml:space="preserve"> por corrupção,</w:t>
      </w:r>
      <w:r w:rsidR="00AA1F8F" w:rsidRPr="00AA1F8F">
        <w:rPr>
          <w:rFonts w:ascii="Garamond" w:hAnsi="Garamond"/>
          <w:sz w:val="24"/>
          <w:szCs w:val="24"/>
          <w:lang w:val="pt-PT"/>
        </w:rPr>
        <w:t xml:space="preserve"> explicou que a justiça alemã considerou o ex-cônsul honorário de Portugal em </w:t>
      </w:r>
      <w:r w:rsidR="00AA1F8F" w:rsidRPr="00AA1F8F">
        <w:rPr>
          <w:rFonts w:ascii="Garamond" w:hAnsi="Garamond"/>
          <w:sz w:val="24"/>
          <w:szCs w:val="24"/>
          <w:lang w:val="pt-PT"/>
        </w:rPr>
        <w:lastRenderedPageBreak/>
        <w:t>Munique como funcionário público português, pelo que o condenou como “corrompido”. Não é pois verdade que tenham sido condenados os corruptores e não os corrompidos.</w:t>
      </w:r>
    </w:p>
    <w:p w:rsidR="00AA1F8F" w:rsidRPr="00AA1F8F" w:rsidRDefault="00AA1F8F" w:rsidP="00AA1F8F">
      <w:pPr>
        <w:spacing w:line="360" w:lineRule="auto"/>
        <w:jc w:val="both"/>
        <w:rPr>
          <w:rFonts w:ascii="Garamond" w:hAnsi="Garamond"/>
          <w:sz w:val="26"/>
          <w:szCs w:val="26"/>
          <w:lang w:val="pt-PT"/>
        </w:rPr>
      </w:pPr>
      <w:r w:rsidRPr="00AA1F8F">
        <w:rPr>
          <w:rFonts w:ascii="Garamond" w:hAnsi="Garamond"/>
          <w:sz w:val="26"/>
          <w:szCs w:val="26"/>
          <w:lang w:val="pt-PT"/>
        </w:rPr>
        <w:t xml:space="preserve">“A Comissão Parlamentar de Inquérito estava em pleno funcionamento quando foram divulgados destinatários dos montantes pagos pela </w:t>
      </w:r>
      <w:proofErr w:type="spellStart"/>
      <w:r w:rsidRPr="00AA1F8F">
        <w:rPr>
          <w:rFonts w:ascii="Garamond" w:hAnsi="Garamond"/>
          <w:sz w:val="26"/>
          <w:szCs w:val="26"/>
          <w:lang w:val="pt-PT"/>
        </w:rPr>
        <w:t>Ferrostaal</w:t>
      </w:r>
      <w:proofErr w:type="spellEnd"/>
      <w:r w:rsidRPr="00AA1F8F">
        <w:rPr>
          <w:rFonts w:ascii="Garamond" w:hAnsi="Garamond"/>
          <w:sz w:val="26"/>
          <w:szCs w:val="26"/>
          <w:lang w:val="pt-PT"/>
        </w:rPr>
        <w:t xml:space="preserve"> a portugueses. Cabia à Comissão um papel relevante na descoberta da “sexta pessoa”, solicitando o depoimento de elementos do BES envolvidos no processo. Nesse preciso momento a maioria interrompeu as inquirições e fechou portas a novas diligências essenciais.”</w:t>
      </w:r>
    </w:p>
    <w:p w:rsidR="00AA1F8F" w:rsidRPr="00AA1F8F" w:rsidRDefault="00AA1F8F" w:rsidP="00AA1F8F">
      <w:pPr>
        <w:pBdr>
          <w:top w:val="single" w:sz="4" w:space="1" w:color="auto"/>
          <w:left w:val="single" w:sz="4" w:space="4" w:color="auto"/>
          <w:bottom w:val="single" w:sz="4" w:space="1" w:color="auto"/>
          <w:right w:val="single" w:sz="4" w:space="4" w:color="auto"/>
        </w:pBdr>
        <w:spacing w:line="360" w:lineRule="auto"/>
        <w:jc w:val="both"/>
        <w:rPr>
          <w:rFonts w:ascii="Garamond" w:hAnsi="Garamond"/>
          <w:sz w:val="24"/>
          <w:szCs w:val="24"/>
          <w:lang w:val="pt-PT"/>
        </w:rPr>
      </w:pPr>
      <w:r w:rsidRPr="00AA1F8F">
        <w:rPr>
          <w:rFonts w:ascii="Garamond" w:hAnsi="Garamond"/>
          <w:sz w:val="24"/>
          <w:szCs w:val="24"/>
          <w:lang w:val="pt-PT"/>
        </w:rPr>
        <w:t xml:space="preserve">Os destinatários dos montantes pagos tinham sido identificados em notícia do semanário Expresso em março deste ano – antes de começar sequer a comissão. Aliás, a eurodeputada Ana Gomes enviou esta notícia para a </w:t>
      </w:r>
      <w:proofErr w:type="gramStart"/>
      <w:r w:rsidRPr="00AA1F8F">
        <w:rPr>
          <w:rFonts w:ascii="Garamond" w:hAnsi="Garamond"/>
          <w:sz w:val="24"/>
          <w:szCs w:val="24"/>
          <w:lang w:val="pt-PT"/>
        </w:rPr>
        <w:t>comissão  sugerindo</w:t>
      </w:r>
      <w:proofErr w:type="gramEnd"/>
      <w:r w:rsidRPr="00AA1F8F">
        <w:rPr>
          <w:rFonts w:ascii="Garamond" w:hAnsi="Garamond"/>
          <w:sz w:val="24"/>
          <w:szCs w:val="24"/>
          <w:lang w:val="pt-PT"/>
        </w:rPr>
        <w:t xml:space="preserve"> a audição de elementos do BES envolvidos no processo. Nem o BE, o PCP ou, sequer mesmo, o PS requereram estas “novas diligências essenciais”</w:t>
      </w:r>
    </w:p>
    <w:p w:rsidR="00AA1F8F" w:rsidRPr="00AA1F8F" w:rsidRDefault="00AA1F8F" w:rsidP="00AA1F8F">
      <w:pPr>
        <w:spacing w:line="360" w:lineRule="auto"/>
        <w:jc w:val="both"/>
        <w:rPr>
          <w:rFonts w:ascii="Garamond" w:hAnsi="Garamond"/>
          <w:sz w:val="26"/>
          <w:szCs w:val="26"/>
          <w:lang w:val="pt-PT"/>
        </w:rPr>
      </w:pPr>
      <w:r w:rsidRPr="00AA1F8F">
        <w:rPr>
          <w:rFonts w:ascii="Garamond" w:hAnsi="Garamond"/>
          <w:sz w:val="26"/>
          <w:szCs w:val="26"/>
          <w:lang w:val="pt-PT"/>
        </w:rPr>
        <w:t xml:space="preserve">“Aos responsáveis pela assinatura dos contratos relativos aos submarinos foi facultada comprometedora </w:t>
      </w:r>
      <w:proofErr w:type="spellStart"/>
      <w:proofErr w:type="gramStart"/>
      <w:r w:rsidRPr="00AA1F8F">
        <w:rPr>
          <w:rFonts w:ascii="Garamond" w:hAnsi="Garamond"/>
          <w:sz w:val="26"/>
          <w:szCs w:val="26"/>
          <w:lang w:val="pt-PT"/>
        </w:rPr>
        <w:t>protecção</w:t>
      </w:r>
      <w:proofErr w:type="spellEnd"/>
      <w:r w:rsidRPr="00AA1F8F">
        <w:rPr>
          <w:rFonts w:ascii="Garamond" w:hAnsi="Garamond"/>
          <w:sz w:val="26"/>
          <w:szCs w:val="26"/>
          <w:lang w:val="pt-PT"/>
        </w:rPr>
        <w:t xml:space="preserve"> .</w:t>
      </w:r>
      <w:proofErr w:type="gramEnd"/>
      <w:r w:rsidRPr="00AA1F8F">
        <w:rPr>
          <w:rFonts w:ascii="Garamond" w:hAnsi="Garamond"/>
          <w:sz w:val="26"/>
          <w:szCs w:val="26"/>
          <w:lang w:val="pt-PT"/>
        </w:rPr>
        <w:t xml:space="preserve"> Foram dispensados de esclarecer contradições que surgiram ao longo do inquérito.”</w:t>
      </w:r>
    </w:p>
    <w:p w:rsidR="00AA1F8F" w:rsidRPr="00AA1F8F" w:rsidRDefault="00AA1F8F" w:rsidP="00AA1F8F">
      <w:pPr>
        <w:pBdr>
          <w:top w:val="single" w:sz="4" w:space="1" w:color="auto"/>
          <w:left w:val="single" w:sz="4" w:space="4" w:color="auto"/>
          <w:bottom w:val="single" w:sz="4" w:space="1" w:color="auto"/>
          <w:right w:val="single" w:sz="4" w:space="4" w:color="auto"/>
        </w:pBdr>
        <w:spacing w:line="360" w:lineRule="auto"/>
        <w:jc w:val="both"/>
        <w:rPr>
          <w:rFonts w:ascii="Garamond" w:hAnsi="Garamond"/>
          <w:sz w:val="24"/>
          <w:szCs w:val="24"/>
          <w:lang w:val="pt-PT"/>
        </w:rPr>
      </w:pPr>
      <w:r w:rsidRPr="00AA1F8F">
        <w:rPr>
          <w:rFonts w:ascii="Garamond" w:hAnsi="Garamond"/>
          <w:sz w:val="24"/>
          <w:szCs w:val="24"/>
          <w:lang w:val="pt-PT"/>
        </w:rPr>
        <w:t xml:space="preserve">Quais contradições? O responsável pela assinatura dos contratos foi o </w:t>
      </w:r>
      <w:proofErr w:type="spellStart"/>
      <w:r w:rsidRPr="00AA1F8F">
        <w:rPr>
          <w:rFonts w:ascii="Garamond" w:hAnsi="Garamond"/>
          <w:sz w:val="24"/>
          <w:szCs w:val="24"/>
          <w:lang w:val="pt-PT"/>
        </w:rPr>
        <w:t>ex</w:t>
      </w:r>
      <w:proofErr w:type="spellEnd"/>
      <w:r w:rsidRPr="00AA1F8F">
        <w:rPr>
          <w:rFonts w:ascii="Garamond" w:hAnsi="Garamond"/>
          <w:sz w:val="24"/>
          <w:szCs w:val="24"/>
          <w:lang w:val="pt-PT"/>
        </w:rPr>
        <w:t xml:space="preserve"> ministro Paulo Portas, que respondeu a todas as perguntas durante 4 horas e 45 minutos. Não é indicada uma única contradição…</w:t>
      </w:r>
    </w:p>
    <w:p w:rsidR="00AA1F8F" w:rsidRPr="00AA1F8F" w:rsidRDefault="00AA1F8F" w:rsidP="00AA1F8F">
      <w:pPr>
        <w:spacing w:line="360" w:lineRule="auto"/>
        <w:jc w:val="both"/>
        <w:rPr>
          <w:rFonts w:ascii="Garamond" w:hAnsi="Garamond"/>
          <w:lang w:val="pt-PT"/>
        </w:rPr>
      </w:pPr>
    </w:p>
    <w:p w:rsidR="00AA1F8F" w:rsidRPr="00AA1F8F" w:rsidRDefault="00AA1F8F" w:rsidP="00AA1F8F">
      <w:pPr>
        <w:spacing w:line="360" w:lineRule="auto"/>
        <w:jc w:val="both"/>
        <w:rPr>
          <w:rFonts w:ascii="Garamond" w:hAnsi="Garamond"/>
          <w:b/>
          <w:bCs/>
          <w:sz w:val="26"/>
          <w:szCs w:val="26"/>
          <w:lang w:val="pt-PT"/>
        </w:rPr>
      </w:pPr>
      <w:proofErr w:type="gramStart"/>
      <w:r w:rsidRPr="00AA1F8F">
        <w:rPr>
          <w:rFonts w:ascii="Garamond" w:hAnsi="Garamond"/>
          <w:b/>
          <w:bCs/>
          <w:sz w:val="26"/>
          <w:szCs w:val="26"/>
          <w:lang w:val="pt-PT"/>
        </w:rPr>
        <w:t>Dúvidas graves</w:t>
      </w:r>
      <w:proofErr w:type="gramEnd"/>
    </w:p>
    <w:p w:rsidR="00AA1F8F" w:rsidRPr="00AA1F8F" w:rsidRDefault="00AA1F8F" w:rsidP="00AA1F8F">
      <w:pPr>
        <w:pStyle w:val="Default"/>
        <w:spacing w:line="360" w:lineRule="auto"/>
        <w:jc w:val="both"/>
        <w:rPr>
          <w:rFonts w:ascii="Garamond" w:hAnsi="Garamond"/>
          <w:sz w:val="26"/>
          <w:szCs w:val="26"/>
        </w:rPr>
      </w:pPr>
      <w:r w:rsidRPr="00AA1F8F">
        <w:rPr>
          <w:rFonts w:ascii="Garamond" w:hAnsi="Garamond"/>
          <w:sz w:val="26"/>
          <w:szCs w:val="26"/>
        </w:rPr>
        <w:t xml:space="preserve">Apesar das marchas forçadas a que a Comissão foi sujeita, os trabalhos foram interrompidos quando estavam a aproximar-se do esclarecimento de </w:t>
      </w:r>
      <w:proofErr w:type="spellStart"/>
      <w:r w:rsidRPr="00AA1F8F">
        <w:rPr>
          <w:rFonts w:ascii="Garamond" w:hAnsi="Garamond"/>
          <w:sz w:val="26"/>
          <w:szCs w:val="26"/>
        </w:rPr>
        <w:t>aspectos</w:t>
      </w:r>
      <w:proofErr w:type="spellEnd"/>
      <w:r w:rsidRPr="00AA1F8F">
        <w:rPr>
          <w:rFonts w:ascii="Garamond" w:hAnsi="Garamond"/>
          <w:sz w:val="26"/>
          <w:szCs w:val="26"/>
        </w:rPr>
        <w:t xml:space="preserve"> cruciais, designadamente: </w:t>
      </w:r>
    </w:p>
    <w:p w:rsidR="00AA1F8F" w:rsidRPr="00AA1F8F" w:rsidRDefault="00AA1F8F" w:rsidP="00AA1F8F">
      <w:pPr>
        <w:spacing w:line="360" w:lineRule="auto"/>
        <w:jc w:val="both"/>
        <w:rPr>
          <w:rFonts w:ascii="Garamond" w:hAnsi="Garamond"/>
          <w:b/>
          <w:bCs/>
          <w:sz w:val="26"/>
          <w:szCs w:val="26"/>
          <w:lang w:val="pt-PT"/>
        </w:rPr>
      </w:pPr>
      <w:r w:rsidRPr="00AA1F8F">
        <w:rPr>
          <w:rFonts w:ascii="Garamond" w:hAnsi="Garamond"/>
          <w:sz w:val="26"/>
          <w:szCs w:val="26"/>
          <w:lang w:val="pt-PT"/>
        </w:rPr>
        <w:lastRenderedPageBreak/>
        <w:t xml:space="preserve">- </w:t>
      </w:r>
      <w:proofErr w:type="gramStart"/>
      <w:r w:rsidRPr="00AA1F8F">
        <w:rPr>
          <w:rFonts w:ascii="Garamond" w:hAnsi="Garamond"/>
          <w:sz w:val="26"/>
          <w:szCs w:val="26"/>
          <w:lang w:val="pt-PT"/>
        </w:rPr>
        <w:t>o</w:t>
      </w:r>
      <w:proofErr w:type="gramEnd"/>
      <w:r w:rsidRPr="00AA1F8F">
        <w:rPr>
          <w:rFonts w:ascii="Garamond" w:hAnsi="Garamond"/>
          <w:sz w:val="26"/>
          <w:szCs w:val="26"/>
          <w:lang w:val="pt-PT"/>
        </w:rPr>
        <w:t xml:space="preserve"> papel da </w:t>
      </w:r>
      <w:proofErr w:type="spellStart"/>
      <w:r w:rsidRPr="00AA1F8F">
        <w:rPr>
          <w:rFonts w:ascii="Garamond" w:hAnsi="Garamond"/>
          <w:sz w:val="26"/>
          <w:szCs w:val="26"/>
          <w:lang w:val="pt-PT"/>
        </w:rPr>
        <w:t>Escom</w:t>
      </w:r>
      <w:proofErr w:type="spellEnd"/>
      <w:r w:rsidRPr="00AA1F8F">
        <w:rPr>
          <w:rFonts w:ascii="Garamond" w:hAnsi="Garamond"/>
          <w:sz w:val="26"/>
          <w:szCs w:val="26"/>
          <w:lang w:val="pt-PT"/>
        </w:rPr>
        <w:t xml:space="preserve"> e as razões que levaram o GSC a escolher uma empresa especializada em projetos e investimentos em África para assessorar o consórcio alemão na definição de contrapartidas no mercado nacional.</w:t>
      </w:r>
    </w:p>
    <w:p w:rsidR="00AA1F8F" w:rsidRPr="00AA1F8F" w:rsidRDefault="00AA1F8F" w:rsidP="00AA1F8F">
      <w:pPr>
        <w:pBdr>
          <w:top w:val="single" w:sz="4" w:space="1" w:color="auto"/>
          <w:left w:val="single" w:sz="4" w:space="4" w:color="auto"/>
          <w:bottom w:val="single" w:sz="4" w:space="1" w:color="auto"/>
          <w:right w:val="single" w:sz="4" w:space="4" w:color="auto"/>
        </w:pBdr>
        <w:spacing w:line="360" w:lineRule="auto"/>
        <w:jc w:val="both"/>
        <w:rPr>
          <w:rFonts w:ascii="Garamond" w:hAnsi="Garamond"/>
          <w:sz w:val="24"/>
          <w:szCs w:val="24"/>
          <w:lang w:val="pt-PT"/>
        </w:rPr>
      </w:pPr>
      <w:r w:rsidRPr="00AA1F8F">
        <w:rPr>
          <w:rFonts w:ascii="Garamond" w:hAnsi="Garamond"/>
          <w:sz w:val="24"/>
          <w:szCs w:val="24"/>
          <w:lang w:val="pt-PT"/>
        </w:rPr>
        <w:t xml:space="preserve">A Comissão recebeu os depoimentos do responsável do GSC, do representante em Portugal do GSC, dos administradores e de um funcionário da </w:t>
      </w:r>
      <w:proofErr w:type="spellStart"/>
      <w:r w:rsidRPr="00AA1F8F">
        <w:rPr>
          <w:rFonts w:ascii="Garamond" w:hAnsi="Garamond"/>
          <w:sz w:val="24"/>
          <w:szCs w:val="24"/>
          <w:lang w:val="pt-PT"/>
        </w:rPr>
        <w:t>Escom</w:t>
      </w:r>
      <w:proofErr w:type="spellEnd"/>
      <w:r w:rsidRPr="00AA1F8F">
        <w:rPr>
          <w:rFonts w:ascii="Garamond" w:hAnsi="Garamond"/>
          <w:sz w:val="24"/>
          <w:szCs w:val="24"/>
          <w:lang w:val="pt-PT"/>
        </w:rPr>
        <w:t xml:space="preserve">. A Comissão esclareceu que a </w:t>
      </w:r>
      <w:proofErr w:type="spellStart"/>
      <w:r w:rsidRPr="00AA1F8F">
        <w:rPr>
          <w:rFonts w:ascii="Garamond" w:hAnsi="Garamond"/>
          <w:sz w:val="24"/>
          <w:szCs w:val="24"/>
          <w:lang w:val="pt-PT"/>
        </w:rPr>
        <w:t>Escom</w:t>
      </w:r>
      <w:proofErr w:type="spellEnd"/>
      <w:r w:rsidRPr="00AA1F8F">
        <w:rPr>
          <w:rFonts w:ascii="Garamond" w:hAnsi="Garamond"/>
          <w:sz w:val="24"/>
          <w:szCs w:val="24"/>
          <w:lang w:val="pt-PT"/>
        </w:rPr>
        <w:t xml:space="preserve"> foi contratada em 1996, e assessorou vários concorrentes em concursos de equipamento militar tendo ganho o fornecimento dos EH 101, durante o governo socialista, e perdido os concursos dos aviões </w:t>
      </w:r>
      <w:proofErr w:type="spellStart"/>
      <w:r w:rsidRPr="00AA1F8F">
        <w:rPr>
          <w:rFonts w:ascii="Garamond" w:hAnsi="Garamond"/>
          <w:sz w:val="24"/>
          <w:szCs w:val="24"/>
          <w:lang w:val="pt-PT"/>
        </w:rPr>
        <w:t>tácticos</w:t>
      </w:r>
      <w:proofErr w:type="spellEnd"/>
      <w:r w:rsidRPr="00AA1F8F">
        <w:rPr>
          <w:rFonts w:ascii="Garamond" w:hAnsi="Garamond"/>
          <w:sz w:val="24"/>
          <w:szCs w:val="24"/>
          <w:lang w:val="pt-PT"/>
        </w:rPr>
        <w:t xml:space="preserve"> (venceu C295) e o de Viaturas Blindadas de Rodas (venceu </w:t>
      </w:r>
      <w:proofErr w:type="spellStart"/>
      <w:r w:rsidRPr="00AA1F8F">
        <w:rPr>
          <w:rFonts w:ascii="Garamond" w:hAnsi="Garamond"/>
          <w:sz w:val="24"/>
          <w:szCs w:val="24"/>
          <w:lang w:val="pt-PT"/>
        </w:rPr>
        <w:t>Pandur</w:t>
      </w:r>
      <w:proofErr w:type="spellEnd"/>
      <w:r w:rsidRPr="00AA1F8F">
        <w:rPr>
          <w:rFonts w:ascii="Garamond" w:hAnsi="Garamond"/>
          <w:sz w:val="24"/>
          <w:szCs w:val="24"/>
          <w:lang w:val="pt-PT"/>
        </w:rPr>
        <w:t xml:space="preserve"> II). No dos submarinos, tendo vencido a proposta alemã, o </w:t>
      </w:r>
      <w:proofErr w:type="spellStart"/>
      <w:r w:rsidRPr="00AA1F8F">
        <w:rPr>
          <w:rFonts w:ascii="Garamond" w:hAnsi="Garamond"/>
          <w:sz w:val="24"/>
          <w:szCs w:val="24"/>
          <w:lang w:val="pt-PT"/>
        </w:rPr>
        <w:t>factor</w:t>
      </w:r>
      <w:proofErr w:type="spellEnd"/>
      <w:r w:rsidRPr="00AA1F8F">
        <w:rPr>
          <w:rFonts w:ascii="Garamond" w:hAnsi="Garamond"/>
          <w:sz w:val="24"/>
          <w:szCs w:val="24"/>
          <w:lang w:val="pt-PT"/>
        </w:rPr>
        <w:t xml:space="preserve"> das contrapartidas (responsabilidade da </w:t>
      </w:r>
      <w:proofErr w:type="spellStart"/>
      <w:r w:rsidRPr="00AA1F8F">
        <w:rPr>
          <w:rFonts w:ascii="Garamond" w:hAnsi="Garamond"/>
          <w:sz w:val="24"/>
          <w:szCs w:val="24"/>
          <w:lang w:val="pt-PT"/>
        </w:rPr>
        <w:t>Escom</w:t>
      </w:r>
      <w:proofErr w:type="spellEnd"/>
      <w:r w:rsidRPr="00AA1F8F">
        <w:rPr>
          <w:rFonts w:ascii="Garamond" w:hAnsi="Garamond"/>
          <w:sz w:val="24"/>
          <w:szCs w:val="24"/>
          <w:lang w:val="pt-PT"/>
        </w:rPr>
        <w:t>) perdeu.</w:t>
      </w:r>
    </w:p>
    <w:p w:rsidR="00AA1F8F" w:rsidRPr="00AA1F8F" w:rsidRDefault="00AA1F8F" w:rsidP="00AA1F8F">
      <w:pPr>
        <w:spacing w:line="360" w:lineRule="auto"/>
        <w:jc w:val="both"/>
        <w:rPr>
          <w:rFonts w:ascii="Garamond" w:hAnsi="Garamond"/>
          <w:sz w:val="26"/>
          <w:szCs w:val="26"/>
          <w:lang w:val="pt-PT"/>
        </w:rPr>
      </w:pPr>
      <w:r w:rsidRPr="00AA1F8F">
        <w:rPr>
          <w:rFonts w:ascii="Garamond" w:hAnsi="Garamond"/>
          <w:sz w:val="26"/>
          <w:szCs w:val="26"/>
          <w:lang w:val="pt-PT"/>
        </w:rPr>
        <w:t xml:space="preserve">- </w:t>
      </w:r>
      <w:proofErr w:type="gramStart"/>
      <w:r w:rsidRPr="00AA1F8F">
        <w:rPr>
          <w:rFonts w:ascii="Garamond" w:hAnsi="Garamond"/>
          <w:sz w:val="26"/>
          <w:szCs w:val="26"/>
          <w:lang w:val="pt-PT"/>
        </w:rPr>
        <w:t>a</w:t>
      </w:r>
      <w:proofErr w:type="gramEnd"/>
      <w:r w:rsidRPr="00AA1F8F">
        <w:rPr>
          <w:rFonts w:ascii="Garamond" w:hAnsi="Garamond"/>
          <w:sz w:val="26"/>
          <w:szCs w:val="26"/>
          <w:lang w:val="pt-PT"/>
        </w:rPr>
        <w:t xml:space="preserve"> opção pelo submarino alemão em detrimento do francês e a mudança de características do submarino U209PN;</w:t>
      </w:r>
    </w:p>
    <w:p w:rsidR="00AA1F8F" w:rsidRPr="00AA1F8F" w:rsidRDefault="00AA1F8F" w:rsidP="00AA1F8F">
      <w:pPr>
        <w:pBdr>
          <w:top w:val="single" w:sz="4" w:space="1" w:color="auto"/>
          <w:left w:val="single" w:sz="4" w:space="4" w:color="auto"/>
          <w:bottom w:val="single" w:sz="4" w:space="1" w:color="auto"/>
          <w:right w:val="single" w:sz="4" w:space="4" w:color="auto"/>
        </w:pBdr>
        <w:spacing w:line="360" w:lineRule="auto"/>
        <w:jc w:val="both"/>
        <w:rPr>
          <w:rFonts w:ascii="Garamond" w:hAnsi="Garamond"/>
          <w:sz w:val="24"/>
          <w:szCs w:val="24"/>
          <w:lang w:val="pt-PT"/>
        </w:rPr>
      </w:pPr>
      <w:r w:rsidRPr="00AA1F8F">
        <w:rPr>
          <w:rFonts w:ascii="Garamond" w:hAnsi="Garamond"/>
          <w:sz w:val="24"/>
          <w:szCs w:val="24"/>
          <w:lang w:val="pt-PT"/>
        </w:rPr>
        <w:t xml:space="preserve">A Marinha, todos os </w:t>
      </w:r>
      <w:proofErr w:type="spellStart"/>
      <w:r w:rsidRPr="00AA1F8F">
        <w:rPr>
          <w:rFonts w:ascii="Garamond" w:hAnsi="Garamond"/>
          <w:sz w:val="24"/>
          <w:szCs w:val="24"/>
          <w:lang w:val="pt-PT"/>
        </w:rPr>
        <w:t>ex</w:t>
      </w:r>
      <w:proofErr w:type="spellEnd"/>
      <w:r w:rsidRPr="00AA1F8F">
        <w:rPr>
          <w:rFonts w:ascii="Garamond" w:hAnsi="Garamond"/>
          <w:sz w:val="24"/>
          <w:szCs w:val="24"/>
          <w:lang w:val="pt-PT"/>
        </w:rPr>
        <w:t xml:space="preserve"> ministros da defesa socialistas e até o representante do concorrente francês assumiram na Comissão que a proposta alemã era melhor. De qualquer forma, a mudança de características ocorreu e foi aceite em 2000, durante o governo socialista, e o Supremo Tribunal Administrativo considerou correto o procedimento.</w:t>
      </w:r>
    </w:p>
    <w:p w:rsidR="00AA1F8F" w:rsidRPr="00AA1F8F" w:rsidRDefault="00AA1F8F" w:rsidP="00AA1F8F">
      <w:pPr>
        <w:spacing w:line="360" w:lineRule="auto"/>
        <w:jc w:val="both"/>
        <w:rPr>
          <w:rFonts w:ascii="Garamond" w:hAnsi="Garamond"/>
          <w:sz w:val="26"/>
          <w:szCs w:val="26"/>
          <w:lang w:val="pt-PT"/>
        </w:rPr>
      </w:pPr>
      <w:r w:rsidRPr="00AA1F8F">
        <w:rPr>
          <w:rFonts w:ascii="Garamond" w:hAnsi="Garamond"/>
          <w:sz w:val="26"/>
          <w:szCs w:val="26"/>
          <w:lang w:val="pt-PT"/>
        </w:rPr>
        <w:t xml:space="preserve"> - </w:t>
      </w:r>
      <w:proofErr w:type="gramStart"/>
      <w:r w:rsidRPr="00AA1F8F">
        <w:rPr>
          <w:rFonts w:ascii="Garamond" w:hAnsi="Garamond"/>
          <w:sz w:val="26"/>
          <w:szCs w:val="26"/>
          <w:lang w:val="pt-PT"/>
        </w:rPr>
        <w:t>a</w:t>
      </w:r>
      <w:proofErr w:type="gramEnd"/>
      <w:r w:rsidRPr="00AA1F8F">
        <w:rPr>
          <w:rFonts w:ascii="Garamond" w:hAnsi="Garamond"/>
          <w:sz w:val="26"/>
          <w:szCs w:val="26"/>
          <w:lang w:val="pt-PT"/>
        </w:rPr>
        <w:t xml:space="preserve"> aceitação pelo Governo Durão Barroso de cláusulas contratuais que manietaram, desprotegeram e prejudicaram o Estado;</w:t>
      </w:r>
    </w:p>
    <w:p w:rsidR="00AA1F8F" w:rsidRPr="00AA1F8F" w:rsidRDefault="00AA1F8F" w:rsidP="00AA1F8F">
      <w:pPr>
        <w:pBdr>
          <w:top w:val="single" w:sz="4" w:space="1" w:color="auto"/>
          <w:left w:val="single" w:sz="4" w:space="4" w:color="auto"/>
          <w:bottom w:val="single" w:sz="4" w:space="1" w:color="auto"/>
          <w:right w:val="single" w:sz="4" w:space="4" w:color="auto"/>
        </w:pBdr>
        <w:spacing w:line="360" w:lineRule="auto"/>
        <w:jc w:val="both"/>
        <w:rPr>
          <w:rFonts w:ascii="Garamond" w:hAnsi="Garamond"/>
          <w:sz w:val="24"/>
          <w:szCs w:val="24"/>
          <w:lang w:val="pt-PT"/>
        </w:rPr>
      </w:pPr>
      <w:r w:rsidRPr="00AA1F8F">
        <w:rPr>
          <w:rFonts w:ascii="Garamond" w:hAnsi="Garamond"/>
          <w:sz w:val="24"/>
          <w:szCs w:val="24"/>
          <w:lang w:val="pt-PT"/>
        </w:rPr>
        <w:t xml:space="preserve">A Comissão provou, sem uma única opinião dissidente, que as cláusulas contratuais referidas estavam definidas pelo acordo de Enquadramento Contratual de Contrapartidas, assinado pelo Estado e os concorrentes no final de 2000 – durante o governo socialista. A desproteção e o prejuízo do Estado foi claramente reflexo da não definição do </w:t>
      </w:r>
      <w:proofErr w:type="spellStart"/>
      <w:r w:rsidRPr="00AA1F8F">
        <w:rPr>
          <w:rFonts w:ascii="Garamond" w:hAnsi="Garamond"/>
          <w:sz w:val="24"/>
          <w:szCs w:val="24"/>
          <w:lang w:val="pt-PT"/>
        </w:rPr>
        <w:t>factor</w:t>
      </w:r>
      <w:proofErr w:type="spellEnd"/>
      <w:r w:rsidRPr="00AA1F8F">
        <w:rPr>
          <w:rFonts w:ascii="Garamond" w:hAnsi="Garamond"/>
          <w:sz w:val="24"/>
          <w:szCs w:val="24"/>
          <w:lang w:val="pt-PT"/>
        </w:rPr>
        <w:t xml:space="preserve"> contrapartidas até mais de dois anos após o lançamento do concurso – também pelo governo socialista. É de uma enorme gravidade tentar esconder este facto que os próprios ministros do PS reconheceram.</w:t>
      </w:r>
    </w:p>
    <w:p w:rsidR="00AA1F8F" w:rsidRPr="00AA1F8F" w:rsidRDefault="00AA1F8F" w:rsidP="00AA1F8F">
      <w:pPr>
        <w:spacing w:line="360" w:lineRule="auto"/>
        <w:jc w:val="both"/>
        <w:rPr>
          <w:rFonts w:ascii="Garamond" w:hAnsi="Garamond"/>
          <w:sz w:val="26"/>
          <w:szCs w:val="26"/>
          <w:lang w:val="pt-PT"/>
        </w:rPr>
      </w:pPr>
      <w:r w:rsidRPr="00AA1F8F">
        <w:rPr>
          <w:rFonts w:ascii="Garamond" w:hAnsi="Garamond"/>
          <w:sz w:val="26"/>
          <w:szCs w:val="26"/>
          <w:lang w:val="pt-PT"/>
        </w:rPr>
        <w:t xml:space="preserve">- </w:t>
      </w:r>
      <w:proofErr w:type="gramStart"/>
      <w:r w:rsidRPr="00AA1F8F">
        <w:rPr>
          <w:rFonts w:ascii="Garamond" w:hAnsi="Garamond"/>
          <w:sz w:val="26"/>
          <w:szCs w:val="26"/>
          <w:lang w:val="pt-PT"/>
        </w:rPr>
        <w:t>o</w:t>
      </w:r>
      <w:proofErr w:type="gramEnd"/>
      <w:r w:rsidRPr="00AA1F8F">
        <w:rPr>
          <w:rFonts w:ascii="Garamond" w:hAnsi="Garamond"/>
          <w:sz w:val="26"/>
          <w:szCs w:val="26"/>
          <w:lang w:val="pt-PT"/>
        </w:rPr>
        <w:t xml:space="preserve"> aumento do preço pago ao consórcio alemão, já após a decisão de compra;</w:t>
      </w:r>
    </w:p>
    <w:p w:rsidR="00AA1F8F" w:rsidRPr="00AA1F8F" w:rsidRDefault="00AA1F8F" w:rsidP="00AA1F8F">
      <w:pPr>
        <w:pBdr>
          <w:top w:val="single" w:sz="4" w:space="1" w:color="auto"/>
          <w:left w:val="single" w:sz="4" w:space="4" w:color="auto"/>
          <w:bottom w:val="single" w:sz="4" w:space="1" w:color="auto"/>
          <w:right w:val="single" w:sz="4" w:space="4" w:color="auto"/>
        </w:pBdr>
        <w:spacing w:line="360" w:lineRule="auto"/>
        <w:jc w:val="both"/>
        <w:rPr>
          <w:rFonts w:ascii="Garamond" w:hAnsi="Garamond"/>
          <w:sz w:val="24"/>
          <w:szCs w:val="24"/>
          <w:lang w:val="pt-PT"/>
        </w:rPr>
      </w:pPr>
      <w:r w:rsidRPr="00AA1F8F">
        <w:rPr>
          <w:rFonts w:ascii="Garamond" w:hAnsi="Garamond"/>
          <w:sz w:val="24"/>
          <w:szCs w:val="24"/>
          <w:lang w:val="pt-PT"/>
        </w:rPr>
        <w:lastRenderedPageBreak/>
        <w:t xml:space="preserve">A </w:t>
      </w:r>
      <w:proofErr w:type="spellStart"/>
      <w:r w:rsidRPr="00AA1F8F">
        <w:rPr>
          <w:rFonts w:ascii="Garamond" w:hAnsi="Garamond"/>
          <w:sz w:val="24"/>
          <w:szCs w:val="24"/>
          <w:lang w:val="pt-PT"/>
        </w:rPr>
        <w:t>actualização</w:t>
      </w:r>
      <w:proofErr w:type="spellEnd"/>
      <w:r w:rsidRPr="00AA1F8F">
        <w:rPr>
          <w:rFonts w:ascii="Garamond" w:hAnsi="Garamond"/>
          <w:sz w:val="24"/>
          <w:szCs w:val="24"/>
          <w:lang w:val="pt-PT"/>
        </w:rPr>
        <w:t xml:space="preserve"> do preço foi questionada e respondida várias vezes, durante os trabalhos da Comissão. Foi decidido um </w:t>
      </w:r>
      <w:proofErr w:type="spellStart"/>
      <w:r w:rsidRPr="00AA1F8F">
        <w:rPr>
          <w:rFonts w:ascii="Garamond" w:hAnsi="Garamond"/>
          <w:sz w:val="24"/>
          <w:szCs w:val="24"/>
          <w:lang w:val="pt-PT"/>
        </w:rPr>
        <w:t>factor</w:t>
      </w:r>
      <w:proofErr w:type="spellEnd"/>
      <w:r w:rsidRPr="00AA1F8F">
        <w:rPr>
          <w:rFonts w:ascii="Garamond" w:hAnsi="Garamond"/>
          <w:sz w:val="24"/>
          <w:szCs w:val="24"/>
          <w:lang w:val="pt-PT"/>
        </w:rPr>
        <w:t xml:space="preserve"> único de </w:t>
      </w:r>
      <w:proofErr w:type="spellStart"/>
      <w:r w:rsidRPr="00AA1F8F">
        <w:rPr>
          <w:rFonts w:ascii="Garamond" w:hAnsi="Garamond"/>
          <w:sz w:val="24"/>
          <w:szCs w:val="24"/>
          <w:lang w:val="pt-PT"/>
        </w:rPr>
        <w:t>actualização</w:t>
      </w:r>
      <w:proofErr w:type="spellEnd"/>
      <w:r w:rsidRPr="00AA1F8F">
        <w:rPr>
          <w:rFonts w:ascii="Garamond" w:hAnsi="Garamond"/>
          <w:sz w:val="24"/>
          <w:szCs w:val="24"/>
          <w:lang w:val="pt-PT"/>
        </w:rPr>
        <w:t xml:space="preserve">, desde 1 de janeiro de 2004 até à entrada em vigor do contrato em setembro, de 3,5% - que compara com o </w:t>
      </w:r>
      <w:proofErr w:type="spellStart"/>
      <w:r w:rsidRPr="00AA1F8F">
        <w:rPr>
          <w:rFonts w:ascii="Garamond" w:hAnsi="Garamond"/>
          <w:sz w:val="24"/>
          <w:szCs w:val="24"/>
          <w:lang w:val="pt-PT"/>
        </w:rPr>
        <w:t>factor</w:t>
      </w:r>
      <w:proofErr w:type="spellEnd"/>
      <w:r w:rsidRPr="00AA1F8F">
        <w:rPr>
          <w:rFonts w:ascii="Garamond" w:hAnsi="Garamond"/>
          <w:sz w:val="24"/>
          <w:szCs w:val="24"/>
          <w:lang w:val="pt-PT"/>
        </w:rPr>
        <w:t xml:space="preserve"> de revisão de preços constante na proposta inicial, aceite em 2000 pela Comissão PRAS, cujo </w:t>
      </w:r>
      <w:proofErr w:type="spellStart"/>
      <w:r w:rsidRPr="00AA1F8F">
        <w:rPr>
          <w:rFonts w:ascii="Garamond" w:hAnsi="Garamond"/>
          <w:sz w:val="24"/>
          <w:szCs w:val="24"/>
          <w:lang w:val="pt-PT"/>
        </w:rPr>
        <w:t>factor</w:t>
      </w:r>
      <w:proofErr w:type="spellEnd"/>
      <w:r w:rsidRPr="00AA1F8F">
        <w:rPr>
          <w:rFonts w:ascii="Garamond" w:hAnsi="Garamond"/>
          <w:sz w:val="24"/>
          <w:szCs w:val="24"/>
          <w:lang w:val="pt-PT"/>
        </w:rPr>
        <w:t xml:space="preserve"> fixo era de 5% a que acresciam variáveis como o preço do aço e da </w:t>
      </w:r>
      <w:proofErr w:type="gramStart"/>
      <w:r w:rsidRPr="00AA1F8F">
        <w:rPr>
          <w:rFonts w:ascii="Garamond" w:hAnsi="Garamond"/>
          <w:sz w:val="24"/>
          <w:szCs w:val="24"/>
          <w:lang w:val="pt-PT"/>
        </w:rPr>
        <w:t>mão de obra</w:t>
      </w:r>
      <w:proofErr w:type="gramEnd"/>
      <w:r w:rsidRPr="00AA1F8F">
        <w:rPr>
          <w:rFonts w:ascii="Garamond" w:hAnsi="Garamond"/>
          <w:sz w:val="24"/>
          <w:szCs w:val="24"/>
          <w:lang w:val="pt-PT"/>
        </w:rPr>
        <w:t xml:space="preserve"> ao longo dos seis anos.</w:t>
      </w:r>
    </w:p>
    <w:p w:rsidR="00AA1F8F" w:rsidRPr="00AA1F8F" w:rsidRDefault="00AA1F8F" w:rsidP="00AA1F8F">
      <w:pPr>
        <w:spacing w:line="360" w:lineRule="auto"/>
        <w:jc w:val="both"/>
        <w:rPr>
          <w:rFonts w:ascii="Garamond" w:hAnsi="Garamond"/>
          <w:sz w:val="26"/>
          <w:szCs w:val="26"/>
          <w:lang w:val="pt-PT"/>
        </w:rPr>
      </w:pPr>
      <w:r w:rsidRPr="00AA1F8F">
        <w:rPr>
          <w:rFonts w:ascii="Garamond" w:hAnsi="Garamond"/>
          <w:sz w:val="26"/>
          <w:szCs w:val="26"/>
          <w:lang w:val="pt-PT"/>
        </w:rPr>
        <w:t xml:space="preserve">- </w:t>
      </w:r>
      <w:proofErr w:type="gramStart"/>
      <w:r w:rsidRPr="00AA1F8F">
        <w:rPr>
          <w:rFonts w:ascii="Garamond" w:hAnsi="Garamond"/>
          <w:sz w:val="26"/>
          <w:szCs w:val="26"/>
          <w:lang w:val="pt-PT"/>
        </w:rPr>
        <w:t>as</w:t>
      </w:r>
      <w:proofErr w:type="gramEnd"/>
      <w:r w:rsidRPr="00AA1F8F">
        <w:rPr>
          <w:rFonts w:ascii="Garamond" w:hAnsi="Garamond"/>
          <w:sz w:val="26"/>
          <w:szCs w:val="26"/>
          <w:lang w:val="pt-PT"/>
        </w:rPr>
        <w:t xml:space="preserve"> razões que levaram o atual governo a aceitar como contrapartidas os projetos “</w:t>
      </w:r>
      <w:proofErr w:type="spellStart"/>
      <w:r w:rsidRPr="00AA1F8F">
        <w:rPr>
          <w:rFonts w:ascii="Garamond" w:hAnsi="Garamond"/>
          <w:sz w:val="26"/>
          <w:szCs w:val="26"/>
          <w:lang w:val="pt-PT"/>
        </w:rPr>
        <w:t>Koch</w:t>
      </w:r>
      <w:proofErr w:type="spellEnd"/>
      <w:r w:rsidRPr="00AA1F8F">
        <w:rPr>
          <w:rFonts w:ascii="Garamond" w:hAnsi="Garamond"/>
          <w:sz w:val="26"/>
          <w:szCs w:val="26"/>
          <w:lang w:val="pt-PT"/>
        </w:rPr>
        <w:t xml:space="preserve"> Portugal” e “</w:t>
      </w:r>
      <w:proofErr w:type="spellStart"/>
      <w:r w:rsidRPr="00AA1F8F">
        <w:rPr>
          <w:rFonts w:ascii="Garamond" w:hAnsi="Garamond"/>
          <w:sz w:val="26"/>
          <w:szCs w:val="26"/>
          <w:lang w:val="pt-PT"/>
        </w:rPr>
        <w:t>Alfamar</w:t>
      </w:r>
      <w:proofErr w:type="spellEnd"/>
      <w:r w:rsidRPr="00AA1F8F">
        <w:rPr>
          <w:rFonts w:ascii="Garamond" w:hAnsi="Garamond"/>
          <w:sz w:val="26"/>
          <w:szCs w:val="26"/>
          <w:lang w:val="pt-PT"/>
        </w:rPr>
        <w:t>”;</w:t>
      </w:r>
    </w:p>
    <w:p w:rsidR="00AA1F8F" w:rsidRPr="00AA1F8F" w:rsidRDefault="00AA1F8F" w:rsidP="00AA1F8F">
      <w:pPr>
        <w:pBdr>
          <w:top w:val="single" w:sz="4" w:space="1" w:color="auto"/>
          <w:left w:val="single" w:sz="4" w:space="4" w:color="auto"/>
          <w:bottom w:val="single" w:sz="4" w:space="1" w:color="auto"/>
          <w:right w:val="single" w:sz="4" w:space="4" w:color="auto"/>
        </w:pBdr>
        <w:spacing w:line="360" w:lineRule="auto"/>
        <w:jc w:val="both"/>
        <w:rPr>
          <w:rFonts w:ascii="Garamond" w:hAnsi="Garamond"/>
          <w:sz w:val="24"/>
          <w:szCs w:val="24"/>
          <w:lang w:val="pt-PT"/>
        </w:rPr>
      </w:pPr>
      <w:r w:rsidRPr="00AA1F8F">
        <w:rPr>
          <w:rFonts w:ascii="Garamond" w:hAnsi="Garamond"/>
          <w:sz w:val="24"/>
          <w:szCs w:val="24"/>
          <w:lang w:val="pt-PT"/>
        </w:rPr>
        <w:t>As razões foram explicadas pelos responsáveis dessa decisão</w:t>
      </w:r>
      <w:r w:rsidR="00DE22F5">
        <w:rPr>
          <w:rFonts w:ascii="Garamond" w:hAnsi="Garamond"/>
          <w:sz w:val="24"/>
          <w:szCs w:val="24"/>
          <w:lang w:val="pt-PT"/>
        </w:rPr>
        <w:t xml:space="preserve"> e estão plasmadas no relatório, nas páginas 309, 310 e 312.</w:t>
      </w:r>
    </w:p>
    <w:p w:rsidR="00AA1F8F" w:rsidRPr="00AA1F8F" w:rsidRDefault="00AA1F8F" w:rsidP="00AA1F8F">
      <w:pPr>
        <w:pStyle w:val="Default"/>
        <w:spacing w:line="360" w:lineRule="auto"/>
        <w:jc w:val="both"/>
        <w:rPr>
          <w:rFonts w:ascii="Garamond" w:hAnsi="Garamond"/>
          <w:sz w:val="26"/>
          <w:szCs w:val="26"/>
        </w:rPr>
      </w:pPr>
      <w:r w:rsidRPr="00AA1F8F">
        <w:rPr>
          <w:rFonts w:ascii="Garamond" w:hAnsi="Garamond"/>
          <w:sz w:val="26"/>
          <w:szCs w:val="26"/>
        </w:rPr>
        <w:t xml:space="preserve">- </w:t>
      </w:r>
      <w:proofErr w:type="gramStart"/>
      <w:r w:rsidRPr="00AA1F8F">
        <w:rPr>
          <w:rFonts w:ascii="Garamond" w:hAnsi="Garamond"/>
          <w:sz w:val="26"/>
          <w:szCs w:val="26"/>
        </w:rPr>
        <w:t>as</w:t>
      </w:r>
      <w:proofErr w:type="gramEnd"/>
      <w:r w:rsidRPr="00AA1F8F">
        <w:rPr>
          <w:rFonts w:ascii="Garamond" w:hAnsi="Garamond"/>
          <w:sz w:val="26"/>
          <w:szCs w:val="26"/>
        </w:rPr>
        <w:t xml:space="preserve"> razões pelas quais a ESCOM UK, que recebeu 30 milhões de euros do GSC, utilizou uma série de fundos offshore para fazer pagamento de comissões a diversas entidades, sendo que os montantes pagos e todos os beneficiários últimos não são conhecidos; </w:t>
      </w:r>
    </w:p>
    <w:p w:rsidR="00AA1F8F" w:rsidRPr="00AA1F8F" w:rsidRDefault="00AA1F8F" w:rsidP="00AA1F8F">
      <w:pPr>
        <w:spacing w:line="360" w:lineRule="auto"/>
        <w:jc w:val="both"/>
        <w:rPr>
          <w:rFonts w:ascii="Garamond" w:hAnsi="Garamond"/>
          <w:sz w:val="26"/>
          <w:szCs w:val="26"/>
          <w:lang w:val="pt-PT"/>
        </w:rPr>
      </w:pPr>
      <w:r w:rsidRPr="00AA1F8F">
        <w:rPr>
          <w:rFonts w:ascii="Garamond" w:hAnsi="Garamond"/>
          <w:sz w:val="26"/>
          <w:szCs w:val="26"/>
          <w:lang w:val="pt-PT"/>
        </w:rPr>
        <w:t>- Esclarecimento de a que título membros da família Espírito Santo receberam um montante total de 5 milhões de euros da ESCOM UK em contas na Suíça.</w:t>
      </w:r>
    </w:p>
    <w:p w:rsidR="00AA1F8F" w:rsidRPr="00AA1F8F" w:rsidRDefault="00AA1F8F" w:rsidP="00AA1F8F">
      <w:pPr>
        <w:pBdr>
          <w:top w:val="single" w:sz="4" w:space="1" w:color="auto"/>
          <w:left w:val="single" w:sz="4" w:space="4" w:color="auto"/>
          <w:bottom w:val="single" w:sz="4" w:space="1" w:color="auto"/>
          <w:right w:val="single" w:sz="4" w:space="4" w:color="auto"/>
        </w:pBdr>
        <w:spacing w:line="360" w:lineRule="auto"/>
        <w:jc w:val="both"/>
        <w:rPr>
          <w:rFonts w:ascii="Garamond" w:hAnsi="Garamond"/>
          <w:sz w:val="24"/>
          <w:szCs w:val="24"/>
          <w:lang w:val="pt-PT"/>
        </w:rPr>
      </w:pPr>
      <w:r w:rsidRPr="00AA1F8F">
        <w:rPr>
          <w:rFonts w:ascii="Garamond" w:hAnsi="Garamond"/>
          <w:sz w:val="24"/>
          <w:szCs w:val="24"/>
          <w:lang w:val="pt-PT"/>
        </w:rPr>
        <w:t>As razões foram questionadas aos responsáveis do GSC, que as explicou do seu ponto de vista, e aos administradores da ESCOM UK que afirmou que, quanto aos montantes pagos, a informação foi prestada ao Ministério Público e que não a poderia referir pois o processo está sob segredo de justiça.</w:t>
      </w:r>
    </w:p>
    <w:p w:rsidR="00AA1F8F" w:rsidRPr="00AA1F8F" w:rsidRDefault="00AA1F8F" w:rsidP="00AA1F8F">
      <w:pPr>
        <w:spacing w:line="360" w:lineRule="auto"/>
        <w:jc w:val="both"/>
        <w:rPr>
          <w:rFonts w:ascii="Garamond" w:hAnsi="Garamond"/>
          <w:sz w:val="28"/>
          <w:szCs w:val="28"/>
          <w:lang w:val="pt-PT"/>
        </w:rPr>
      </w:pPr>
    </w:p>
    <w:p w:rsidR="00AA1F8F" w:rsidRPr="00AA1F8F" w:rsidRDefault="00AA1F8F" w:rsidP="00AA1F8F">
      <w:pPr>
        <w:autoSpaceDE w:val="0"/>
        <w:autoSpaceDN w:val="0"/>
        <w:adjustRightInd w:val="0"/>
        <w:spacing w:after="0" w:line="360" w:lineRule="auto"/>
        <w:jc w:val="both"/>
        <w:rPr>
          <w:rFonts w:ascii="Garamond" w:hAnsi="Garamond" w:cs="Arial"/>
          <w:color w:val="000000"/>
          <w:sz w:val="26"/>
          <w:szCs w:val="26"/>
          <w:lang w:val="pt-PT"/>
        </w:rPr>
      </w:pPr>
      <w:r w:rsidRPr="00AA1F8F">
        <w:rPr>
          <w:rFonts w:ascii="Garamond" w:hAnsi="Garamond" w:cs="Arial"/>
          <w:b/>
          <w:bCs/>
          <w:color w:val="000000"/>
          <w:sz w:val="26"/>
          <w:szCs w:val="26"/>
          <w:lang w:val="pt-PT"/>
        </w:rPr>
        <w:t xml:space="preserve">Contradições </w:t>
      </w:r>
    </w:p>
    <w:p w:rsidR="00AA1F8F" w:rsidRPr="00AA1F8F" w:rsidRDefault="00AA1F8F" w:rsidP="00AA1F8F">
      <w:pPr>
        <w:autoSpaceDE w:val="0"/>
        <w:autoSpaceDN w:val="0"/>
        <w:adjustRightInd w:val="0"/>
        <w:spacing w:after="0" w:line="360" w:lineRule="auto"/>
        <w:jc w:val="both"/>
        <w:rPr>
          <w:rFonts w:ascii="Garamond" w:hAnsi="Garamond" w:cs="Arial"/>
          <w:color w:val="000000"/>
          <w:sz w:val="26"/>
          <w:szCs w:val="26"/>
          <w:lang w:val="pt-PT"/>
        </w:rPr>
      </w:pPr>
      <w:r w:rsidRPr="00AA1F8F">
        <w:rPr>
          <w:rFonts w:ascii="Garamond" w:hAnsi="Garamond"/>
          <w:color w:val="000000"/>
          <w:sz w:val="26"/>
          <w:szCs w:val="26"/>
          <w:lang w:val="pt-PT"/>
        </w:rPr>
        <w:t xml:space="preserve">As diligências feitas pela Comissão evidenciaram também importantes contradições, nomeadamente: </w:t>
      </w:r>
    </w:p>
    <w:p w:rsidR="00AA1F8F" w:rsidRPr="00AA1F8F" w:rsidRDefault="00AA1F8F" w:rsidP="00AA1F8F">
      <w:pPr>
        <w:spacing w:line="360" w:lineRule="auto"/>
        <w:jc w:val="both"/>
        <w:rPr>
          <w:rFonts w:ascii="Garamond" w:hAnsi="Garamond"/>
          <w:sz w:val="26"/>
          <w:szCs w:val="26"/>
          <w:lang w:val="pt-PT"/>
        </w:rPr>
      </w:pPr>
      <w:r w:rsidRPr="00AA1F8F">
        <w:rPr>
          <w:rFonts w:ascii="Garamond" w:hAnsi="Garamond"/>
          <w:color w:val="000000"/>
          <w:sz w:val="26"/>
          <w:szCs w:val="26"/>
          <w:lang w:val="pt-PT"/>
        </w:rPr>
        <w:lastRenderedPageBreak/>
        <w:t xml:space="preserve">- As declarações do ex-PM Durão Barroso e do </w:t>
      </w:r>
      <w:proofErr w:type="spellStart"/>
      <w:r w:rsidRPr="00AA1F8F">
        <w:rPr>
          <w:rFonts w:ascii="Garamond" w:hAnsi="Garamond"/>
          <w:color w:val="000000"/>
          <w:sz w:val="26"/>
          <w:szCs w:val="26"/>
          <w:lang w:val="pt-PT"/>
        </w:rPr>
        <w:t>ex-MDN</w:t>
      </w:r>
      <w:proofErr w:type="spellEnd"/>
      <w:r w:rsidRPr="00AA1F8F">
        <w:rPr>
          <w:rFonts w:ascii="Garamond" w:hAnsi="Garamond"/>
          <w:color w:val="000000"/>
          <w:sz w:val="26"/>
          <w:szCs w:val="26"/>
          <w:lang w:val="pt-PT"/>
        </w:rPr>
        <w:t xml:space="preserve"> Paulo Portas são contraditadas por documentos e depoimentos obtidos pela Comissão.</w:t>
      </w:r>
    </w:p>
    <w:p w:rsidR="00AA1F8F" w:rsidRPr="00AA1F8F" w:rsidRDefault="00AA1F8F" w:rsidP="00AA1F8F">
      <w:pPr>
        <w:pBdr>
          <w:top w:val="single" w:sz="4" w:space="1" w:color="auto"/>
          <w:left w:val="single" w:sz="4" w:space="4" w:color="auto"/>
          <w:bottom w:val="single" w:sz="4" w:space="1" w:color="auto"/>
          <w:right w:val="single" w:sz="4" w:space="4" w:color="auto"/>
        </w:pBdr>
        <w:spacing w:line="360" w:lineRule="auto"/>
        <w:jc w:val="both"/>
        <w:rPr>
          <w:rFonts w:ascii="Garamond" w:hAnsi="Garamond"/>
          <w:sz w:val="24"/>
          <w:szCs w:val="24"/>
          <w:lang w:val="pt-PT"/>
        </w:rPr>
      </w:pPr>
      <w:r w:rsidRPr="00AA1F8F">
        <w:rPr>
          <w:rFonts w:ascii="Garamond" w:hAnsi="Garamond"/>
          <w:sz w:val="24"/>
          <w:szCs w:val="24"/>
          <w:lang w:val="pt-PT"/>
        </w:rPr>
        <w:t>Não é, curiosamente, apontada nenhuma das “importantes contradições. O depoimento do ex-Primeiro Ministro Durão Barroso afirma que não tem conhecimento de nenhuma reunião em São Bento, o que difere de uma notícia de jornal que reproduz uma notícia alemã que transcreve um relatório do ex-cônsul honorário em que este afirma ter existido uma reunião. E o relatório, com total transparência, exibe estes factos. Mais uma vez, não existe também uma única contradição em relação às declarações do ex-ministro Paulo Portas.</w:t>
      </w:r>
    </w:p>
    <w:p w:rsidR="00AA1F8F" w:rsidRPr="00AA1F8F" w:rsidRDefault="00AA1F8F" w:rsidP="00AA1F8F">
      <w:pPr>
        <w:spacing w:line="360" w:lineRule="auto"/>
        <w:jc w:val="both"/>
        <w:rPr>
          <w:rFonts w:ascii="Garamond" w:hAnsi="Garamond"/>
          <w:sz w:val="26"/>
          <w:szCs w:val="26"/>
          <w:lang w:val="pt-PT"/>
        </w:rPr>
      </w:pPr>
      <w:r w:rsidRPr="00AA1F8F">
        <w:rPr>
          <w:rFonts w:ascii="Garamond" w:hAnsi="Garamond"/>
          <w:sz w:val="26"/>
          <w:szCs w:val="26"/>
          <w:lang w:val="pt-PT"/>
        </w:rPr>
        <w:t xml:space="preserve">- As declarações do </w:t>
      </w:r>
      <w:proofErr w:type="spellStart"/>
      <w:r w:rsidRPr="00AA1F8F">
        <w:rPr>
          <w:rFonts w:ascii="Garamond" w:hAnsi="Garamond"/>
          <w:sz w:val="26"/>
          <w:szCs w:val="26"/>
          <w:lang w:val="pt-PT"/>
        </w:rPr>
        <w:t>ex</w:t>
      </w:r>
      <w:proofErr w:type="spellEnd"/>
      <w:r w:rsidRPr="00AA1F8F">
        <w:rPr>
          <w:rFonts w:ascii="Garamond" w:hAnsi="Garamond"/>
          <w:sz w:val="26"/>
          <w:szCs w:val="26"/>
          <w:lang w:val="pt-PT"/>
        </w:rPr>
        <w:t xml:space="preserve"> ministro do atual governo Álvaro Santos Pereira, (fundamentando em pareceres a decisão de substituir contrapartidas não cumpridas pelo projeto </w:t>
      </w:r>
      <w:proofErr w:type="spellStart"/>
      <w:r w:rsidRPr="00AA1F8F">
        <w:rPr>
          <w:rFonts w:ascii="Garamond" w:hAnsi="Garamond"/>
          <w:sz w:val="26"/>
          <w:szCs w:val="26"/>
          <w:lang w:val="pt-PT"/>
        </w:rPr>
        <w:t>Alfamar</w:t>
      </w:r>
      <w:proofErr w:type="spellEnd"/>
      <w:r w:rsidRPr="00AA1F8F">
        <w:rPr>
          <w:rFonts w:ascii="Garamond" w:hAnsi="Garamond"/>
          <w:sz w:val="26"/>
          <w:szCs w:val="26"/>
          <w:lang w:val="pt-PT"/>
        </w:rPr>
        <w:t>) são contraditadas pelos próprios pareceres;</w:t>
      </w:r>
    </w:p>
    <w:p w:rsidR="00AA1F8F" w:rsidRPr="00AA1F8F" w:rsidRDefault="00AA1F8F" w:rsidP="00AA1F8F">
      <w:pPr>
        <w:pBdr>
          <w:top w:val="single" w:sz="4" w:space="1" w:color="auto"/>
          <w:left w:val="single" w:sz="4" w:space="4" w:color="auto"/>
          <w:bottom w:val="single" w:sz="4" w:space="1" w:color="auto"/>
          <w:right w:val="single" w:sz="4" w:space="4" w:color="auto"/>
        </w:pBdr>
        <w:spacing w:line="360" w:lineRule="auto"/>
        <w:jc w:val="both"/>
        <w:rPr>
          <w:rFonts w:ascii="Garamond" w:hAnsi="Garamond"/>
          <w:sz w:val="24"/>
          <w:szCs w:val="24"/>
          <w:lang w:val="pt-PT"/>
        </w:rPr>
      </w:pPr>
      <w:r w:rsidRPr="00AA1F8F">
        <w:rPr>
          <w:rFonts w:ascii="Garamond" w:hAnsi="Garamond"/>
          <w:sz w:val="24"/>
          <w:szCs w:val="24"/>
          <w:lang w:val="pt-PT"/>
        </w:rPr>
        <w:t>Das duas uma, ou as declarações são contraditas pelos próprios pareceres, como aqui afirmam, ou não existem pareceres, como se afirma na página 12 deste</w:t>
      </w:r>
      <w:r w:rsidR="00F0090B">
        <w:rPr>
          <w:rFonts w:ascii="Garamond" w:hAnsi="Garamond"/>
          <w:sz w:val="24"/>
          <w:szCs w:val="24"/>
          <w:lang w:val="pt-PT"/>
        </w:rPr>
        <w:t xml:space="preserve"> mesmo</w:t>
      </w:r>
      <w:r w:rsidRPr="00AA1F8F">
        <w:rPr>
          <w:rFonts w:ascii="Garamond" w:hAnsi="Garamond"/>
          <w:sz w:val="24"/>
          <w:szCs w:val="24"/>
          <w:lang w:val="pt-PT"/>
        </w:rPr>
        <w:t xml:space="preserve"> documento: “Tal parecer não existe, sendo os documentos remetidos à Comissão referentes a outras questões.” </w:t>
      </w:r>
    </w:p>
    <w:p w:rsidR="00AA1F8F" w:rsidRPr="00AA1F8F" w:rsidRDefault="00AA1F8F" w:rsidP="00AA1F8F">
      <w:pPr>
        <w:spacing w:line="360" w:lineRule="auto"/>
        <w:jc w:val="both"/>
        <w:rPr>
          <w:rFonts w:ascii="Garamond" w:hAnsi="Garamond"/>
          <w:sz w:val="26"/>
          <w:szCs w:val="26"/>
          <w:lang w:val="pt-PT"/>
        </w:rPr>
      </w:pPr>
      <w:r w:rsidRPr="00AA1F8F">
        <w:rPr>
          <w:rFonts w:ascii="Garamond" w:hAnsi="Garamond"/>
          <w:sz w:val="26"/>
          <w:szCs w:val="26"/>
          <w:lang w:val="pt-PT"/>
        </w:rPr>
        <w:t>- A não indicação de responsáveis políticos por situações de incumprimento (ou mísera execução) de contrapartidas é contraditória com a enumeração que o Relatório faz dos graves problemas ocorridos no domínio das contrapartidas;</w:t>
      </w:r>
    </w:p>
    <w:p w:rsidR="00AA1F8F" w:rsidRPr="00AA1F8F" w:rsidRDefault="00AA1F8F" w:rsidP="00AA1F8F">
      <w:pPr>
        <w:pBdr>
          <w:top w:val="single" w:sz="4" w:space="1" w:color="auto"/>
          <w:left w:val="single" w:sz="4" w:space="4" w:color="auto"/>
          <w:bottom w:val="single" w:sz="4" w:space="1" w:color="auto"/>
          <w:right w:val="single" w:sz="4" w:space="4" w:color="auto"/>
        </w:pBdr>
        <w:spacing w:line="360" w:lineRule="auto"/>
        <w:jc w:val="both"/>
        <w:rPr>
          <w:rFonts w:ascii="Garamond" w:hAnsi="Garamond"/>
          <w:sz w:val="24"/>
          <w:szCs w:val="24"/>
          <w:lang w:val="pt-PT"/>
        </w:rPr>
      </w:pPr>
      <w:r w:rsidRPr="00AA1F8F">
        <w:rPr>
          <w:rFonts w:ascii="Garamond" w:hAnsi="Garamond"/>
          <w:sz w:val="24"/>
          <w:szCs w:val="24"/>
          <w:lang w:val="pt-PT"/>
        </w:rPr>
        <w:t>Tirando os 4 meses iniciais, após o contrato dos submarinos, os responsáveis políticos “por situações de incumprimento (ou mísera execução) de contrapartidas” foram, durante 6 anos ministros da Defesa e da Economia socialistas. São, por isso, muito fáceis de enumerar.</w:t>
      </w:r>
    </w:p>
    <w:p w:rsidR="00AA1F8F" w:rsidRPr="00AA1F8F" w:rsidRDefault="00AA1F8F" w:rsidP="00AA1F8F">
      <w:pPr>
        <w:spacing w:line="360" w:lineRule="auto"/>
        <w:jc w:val="both"/>
        <w:rPr>
          <w:rFonts w:ascii="Garamond" w:hAnsi="Garamond"/>
          <w:sz w:val="26"/>
          <w:szCs w:val="26"/>
          <w:lang w:val="pt-PT"/>
        </w:rPr>
      </w:pPr>
      <w:r w:rsidRPr="00AA1F8F">
        <w:rPr>
          <w:rFonts w:ascii="Garamond" w:hAnsi="Garamond"/>
          <w:sz w:val="26"/>
          <w:szCs w:val="26"/>
          <w:lang w:val="pt-PT"/>
        </w:rPr>
        <w:t xml:space="preserve">- As declarações de presidentes da CPC e do </w:t>
      </w:r>
      <w:proofErr w:type="spellStart"/>
      <w:r w:rsidRPr="00AA1F8F">
        <w:rPr>
          <w:rFonts w:ascii="Garamond" w:hAnsi="Garamond"/>
          <w:sz w:val="26"/>
          <w:szCs w:val="26"/>
          <w:lang w:val="pt-PT"/>
        </w:rPr>
        <w:t>dr.</w:t>
      </w:r>
      <w:proofErr w:type="spellEnd"/>
      <w:r w:rsidRPr="00AA1F8F">
        <w:rPr>
          <w:rFonts w:ascii="Garamond" w:hAnsi="Garamond"/>
          <w:sz w:val="26"/>
          <w:szCs w:val="26"/>
          <w:lang w:val="pt-PT"/>
        </w:rPr>
        <w:t xml:space="preserve"> Bernardo </w:t>
      </w:r>
      <w:proofErr w:type="spellStart"/>
      <w:r w:rsidRPr="00AA1F8F">
        <w:rPr>
          <w:rFonts w:ascii="Garamond" w:hAnsi="Garamond"/>
          <w:sz w:val="26"/>
          <w:szCs w:val="26"/>
          <w:lang w:val="pt-PT"/>
        </w:rPr>
        <w:t>Ayala</w:t>
      </w:r>
      <w:proofErr w:type="spellEnd"/>
      <w:r w:rsidRPr="00AA1F8F">
        <w:rPr>
          <w:rFonts w:ascii="Garamond" w:hAnsi="Garamond"/>
          <w:sz w:val="26"/>
          <w:szCs w:val="26"/>
          <w:lang w:val="pt-PT"/>
        </w:rPr>
        <w:t xml:space="preserve"> sobre a localização dos arquivos da CPC nos escritórios </w:t>
      </w:r>
      <w:proofErr w:type="gramStart"/>
      <w:r w:rsidRPr="00AA1F8F">
        <w:rPr>
          <w:rFonts w:ascii="Garamond" w:hAnsi="Garamond"/>
          <w:sz w:val="26"/>
          <w:szCs w:val="26"/>
          <w:lang w:val="pt-PT"/>
        </w:rPr>
        <w:t>da Sérvulo Correia</w:t>
      </w:r>
      <w:proofErr w:type="gramEnd"/>
      <w:r w:rsidRPr="00AA1F8F">
        <w:rPr>
          <w:rFonts w:ascii="Garamond" w:hAnsi="Garamond"/>
          <w:sz w:val="26"/>
          <w:szCs w:val="26"/>
          <w:lang w:val="pt-PT"/>
        </w:rPr>
        <w:t xml:space="preserve"> e Associados são inconciliáveis.</w:t>
      </w:r>
    </w:p>
    <w:p w:rsidR="00AA1F8F" w:rsidRPr="00AA1F8F" w:rsidRDefault="00AA1F8F" w:rsidP="00AA1F8F">
      <w:pPr>
        <w:pBdr>
          <w:top w:val="single" w:sz="4" w:space="1" w:color="auto"/>
          <w:left w:val="single" w:sz="4" w:space="4" w:color="auto"/>
          <w:bottom w:val="single" w:sz="4" w:space="1" w:color="auto"/>
          <w:right w:val="single" w:sz="4" w:space="4" w:color="auto"/>
        </w:pBdr>
        <w:spacing w:line="360" w:lineRule="auto"/>
        <w:jc w:val="both"/>
        <w:rPr>
          <w:rFonts w:ascii="Garamond" w:hAnsi="Garamond"/>
          <w:sz w:val="24"/>
          <w:szCs w:val="24"/>
          <w:lang w:val="pt-PT"/>
        </w:rPr>
      </w:pPr>
      <w:r w:rsidRPr="00AA1F8F">
        <w:rPr>
          <w:rFonts w:ascii="Garamond" w:hAnsi="Garamond"/>
          <w:sz w:val="24"/>
          <w:szCs w:val="24"/>
          <w:lang w:val="pt-PT"/>
        </w:rPr>
        <w:lastRenderedPageBreak/>
        <w:t xml:space="preserve">Mais uma falsidade. As declarações não são inconciliáveis, são até complementares, como os próprios intervenientes reconheceram em esclarecimentos e </w:t>
      </w:r>
      <w:proofErr w:type="spellStart"/>
      <w:r w:rsidRPr="00AA1F8F">
        <w:rPr>
          <w:rFonts w:ascii="Garamond" w:hAnsi="Garamond"/>
          <w:sz w:val="24"/>
          <w:szCs w:val="24"/>
          <w:lang w:val="pt-PT"/>
        </w:rPr>
        <w:t>correcções</w:t>
      </w:r>
      <w:proofErr w:type="spellEnd"/>
      <w:r w:rsidRPr="00AA1F8F">
        <w:rPr>
          <w:rFonts w:ascii="Garamond" w:hAnsi="Garamond"/>
          <w:sz w:val="24"/>
          <w:szCs w:val="24"/>
          <w:lang w:val="pt-PT"/>
        </w:rPr>
        <w:t xml:space="preserve"> que enviaram à Comissão após os seus depoimentos, nomeadamente do </w:t>
      </w:r>
      <w:proofErr w:type="spellStart"/>
      <w:r w:rsidRPr="00AA1F8F">
        <w:rPr>
          <w:rFonts w:ascii="Garamond" w:hAnsi="Garamond"/>
          <w:sz w:val="24"/>
          <w:szCs w:val="24"/>
          <w:lang w:val="pt-PT"/>
        </w:rPr>
        <w:t>Eng</w:t>
      </w:r>
      <w:proofErr w:type="spellEnd"/>
      <w:r w:rsidRPr="00AA1F8F">
        <w:rPr>
          <w:rFonts w:ascii="Garamond" w:hAnsi="Garamond"/>
          <w:sz w:val="24"/>
          <w:szCs w:val="24"/>
          <w:lang w:val="pt-PT"/>
        </w:rPr>
        <w:t xml:space="preserve">. Rui Neves e do Prof. Sérvulo Correia. O que nunca foi esclarecido é porque não existiam </w:t>
      </w:r>
      <w:proofErr w:type="spellStart"/>
      <w:r w:rsidRPr="00AA1F8F">
        <w:rPr>
          <w:rFonts w:ascii="Garamond" w:hAnsi="Garamond"/>
          <w:sz w:val="24"/>
          <w:szCs w:val="24"/>
          <w:lang w:val="pt-PT"/>
        </w:rPr>
        <w:t>actas</w:t>
      </w:r>
      <w:proofErr w:type="spellEnd"/>
      <w:r w:rsidRPr="00AA1F8F">
        <w:rPr>
          <w:rFonts w:ascii="Garamond" w:hAnsi="Garamond"/>
          <w:sz w:val="24"/>
          <w:szCs w:val="24"/>
          <w:lang w:val="pt-PT"/>
        </w:rPr>
        <w:t xml:space="preserve"> da CPC anteriormente a 2003.</w:t>
      </w:r>
    </w:p>
    <w:p w:rsidR="00AA1F8F" w:rsidRPr="00AA1F8F" w:rsidRDefault="00AA1F8F" w:rsidP="00AA1F8F">
      <w:pPr>
        <w:autoSpaceDE w:val="0"/>
        <w:autoSpaceDN w:val="0"/>
        <w:adjustRightInd w:val="0"/>
        <w:spacing w:after="0" w:line="360" w:lineRule="auto"/>
        <w:jc w:val="both"/>
        <w:rPr>
          <w:rFonts w:ascii="Garamond" w:hAnsi="Garamond" w:cs="Arial"/>
          <w:color w:val="000000"/>
          <w:sz w:val="26"/>
          <w:szCs w:val="26"/>
          <w:lang w:val="pt-PT"/>
        </w:rPr>
      </w:pPr>
      <w:r w:rsidRPr="00AA1F8F">
        <w:rPr>
          <w:rFonts w:ascii="Garamond" w:hAnsi="Garamond" w:cs="Arial"/>
          <w:b/>
          <w:bCs/>
          <w:color w:val="000000"/>
          <w:sz w:val="26"/>
          <w:szCs w:val="26"/>
          <w:lang w:val="pt-PT"/>
        </w:rPr>
        <w:t xml:space="preserve">Análise crítica do Relatório Viciado </w:t>
      </w:r>
    </w:p>
    <w:p w:rsidR="00AA1F8F" w:rsidRPr="00AA1F8F" w:rsidRDefault="00AA1F8F" w:rsidP="00AA1F8F">
      <w:pPr>
        <w:autoSpaceDE w:val="0"/>
        <w:autoSpaceDN w:val="0"/>
        <w:adjustRightInd w:val="0"/>
        <w:spacing w:after="0" w:line="360" w:lineRule="auto"/>
        <w:jc w:val="both"/>
        <w:rPr>
          <w:rFonts w:ascii="Garamond" w:hAnsi="Garamond"/>
          <w:color w:val="000000"/>
          <w:sz w:val="26"/>
          <w:szCs w:val="26"/>
          <w:lang w:val="pt-PT"/>
        </w:rPr>
      </w:pPr>
      <w:r w:rsidRPr="00AA1F8F">
        <w:rPr>
          <w:rFonts w:ascii="Garamond" w:hAnsi="Garamond"/>
          <w:b/>
          <w:bCs/>
          <w:color w:val="000000"/>
          <w:sz w:val="26"/>
          <w:szCs w:val="26"/>
          <w:lang w:val="pt-PT"/>
        </w:rPr>
        <w:t xml:space="preserve">1- UM RELATÓRIO QUE DEIXA SEM RESPOSTA QUESITOS ESSENCIAIS </w:t>
      </w:r>
    </w:p>
    <w:p w:rsidR="00AA1F8F" w:rsidRPr="00AA1F8F" w:rsidRDefault="00AA1F8F" w:rsidP="00AA1F8F">
      <w:pPr>
        <w:autoSpaceDE w:val="0"/>
        <w:autoSpaceDN w:val="0"/>
        <w:adjustRightInd w:val="0"/>
        <w:spacing w:after="0" w:line="360" w:lineRule="auto"/>
        <w:jc w:val="both"/>
        <w:rPr>
          <w:rFonts w:ascii="Garamond" w:hAnsi="Garamond"/>
          <w:color w:val="000000"/>
          <w:sz w:val="26"/>
          <w:szCs w:val="26"/>
          <w:lang w:val="pt-PT"/>
        </w:rPr>
      </w:pPr>
    </w:p>
    <w:p w:rsidR="00AA1F8F" w:rsidRPr="00AA1F8F" w:rsidRDefault="00AA1F8F" w:rsidP="00AA1F8F">
      <w:pPr>
        <w:autoSpaceDE w:val="0"/>
        <w:autoSpaceDN w:val="0"/>
        <w:adjustRightInd w:val="0"/>
        <w:spacing w:after="0" w:line="360" w:lineRule="auto"/>
        <w:jc w:val="both"/>
        <w:rPr>
          <w:rFonts w:ascii="Garamond" w:hAnsi="Garamond"/>
          <w:color w:val="000000"/>
          <w:sz w:val="26"/>
          <w:szCs w:val="26"/>
          <w:lang w:val="pt-PT"/>
        </w:rPr>
      </w:pPr>
      <w:r w:rsidRPr="00AA1F8F">
        <w:rPr>
          <w:rFonts w:ascii="Garamond" w:hAnsi="Garamond"/>
          <w:color w:val="000000"/>
          <w:sz w:val="26"/>
          <w:szCs w:val="26"/>
          <w:lang w:val="pt-PT"/>
        </w:rPr>
        <w:t xml:space="preserve">O </w:t>
      </w:r>
      <w:proofErr w:type="spellStart"/>
      <w:r w:rsidRPr="00AA1F8F">
        <w:rPr>
          <w:rFonts w:ascii="Garamond" w:hAnsi="Garamond"/>
          <w:color w:val="000000"/>
          <w:sz w:val="26"/>
          <w:szCs w:val="26"/>
          <w:lang w:val="pt-PT"/>
        </w:rPr>
        <w:t>projecto</w:t>
      </w:r>
      <w:proofErr w:type="spellEnd"/>
      <w:r w:rsidRPr="00AA1F8F">
        <w:rPr>
          <w:rFonts w:ascii="Garamond" w:hAnsi="Garamond"/>
          <w:color w:val="000000"/>
          <w:sz w:val="26"/>
          <w:szCs w:val="26"/>
          <w:lang w:val="pt-PT"/>
        </w:rPr>
        <w:t xml:space="preserve"> de Relatório da maioria apresentado no dia 3 de Outubro não responde, desde logo, aos quesitos que resultam da Resolução que determinou o inquérito parlamentar: </w:t>
      </w:r>
    </w:p>
    <w:p w:rsidR="00AA1F8F" w:rsidRPr="00AA1F8F" w:rsidRDefault="00AA1F8F" w:rsidP="00AA1F8F">
      <w:pPr>
        <w:autoSpaceDE w:val="0"/>
        <w:autoSpaceDN w:val="0"/>
        <w:adjustRightInd w:val="0"/>
        <w:spacing w:after="0" w:line="360" w:lineRule="auto"/>
        <w:jc w:val="both"/>
        <w:rPr>
          <w:rFonts w:ascii="Garamond" w:hAnsi="Garamond"/>
          <w:color w:val="000000"/>
          <w:sz w:val="28"/>
          <w:szCs w:val="28"/>
          <w:lang w:val="pt-PT"/>
        </w:rPr>
      </w:pPr>
    </w:p>
    <w:p w:rsidR="00AA1F8F" w:rsidRPr="00AA1F8F" w:rsidRDefault="00AA1F8F" w:rsidP="00AA1F8F">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Garamond" w:hAnsi="Garamond"/>
          <w:color w:val="000000"/>
          <w:sz w:val="24"/>
          <w:szCs w:val="24"/>
          <w:lang w:val="pt-PT"/>
        </w:rPr>
      </w:pPr>
      <w:r w:rsidRPr="00AA1F8F">
        <w:rPr>
          <w:rFonts w:ascii="Garamond" w:hAnsi="Garamond"/>
          <w:color w:val="000000"/>
          <w:sz w:val="24"/>
          <w:szCs w:val="24"/>
          <w:lang w:val="pt-PT"/>
        </w:rPr>
        <w:t>É verdade, desde logo por duas razões:</w:t>
      </w:r>
    </w:p>
    <w:p w:rsidR="00AA1F8F" w:rsidRPr="00AA1F8F" w:rsidRDefault="00AA1F8F" w:rsidP="00AA1F8F">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Garamond" w:hAnsi="Garamond"/>
          <w:color w:val="000000"/>
          <w:sz w:val="24"/>
          <w:szCs w:val="24"/>
          <w:lang w:val="pt-PT"/>
        </w:rPr>
      </w:pPr>
    </w:p>
    <w:p w:rsidR="00AA1F8F" w:rsidRPr="00AA1F8F" w:rsidRDefault="00AA1F8F" w:rsidP="00AA1F8F">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Garamond" w:hAnsi="Garamond"/>
          <w:color w:val="000000"/>
          <w:sz w:val="24"/>
          <w:szCs w:val="24"/>
          <w:lang w:val="pt-PT"/>
        </w:rPr>
      </w:pPr>
      <w:r w:rsidRPr="00AA1F8F">
        <w:rPr>
          <w:rFonts w:ascii="Garamond" w:hAnsi="Garamond"/>
          <w:color w:val="000000"/>
          <w:sz w:val="24"/>
          <w:szCs w:val="24"/>
          <w:lang w:val="pt-PT"/>
        </w:rPr>
        <w:t>1. Alguns dos quesitos propostos – que se encontram no relatório –</w:t>
      </w:r>
      <w:r w:rsidR="00F0090B">
        <w:rPr>
          <w:rFonts w:ascii="Garamond" w:hAnsi="Garamond"/>
          <w:color w:val="000000"/>
          <w:sz w:val="24"/>
          <w:szCs w:val="24"/>
          <w:lang w:val="pt-PT"/>
        </w:rPr>
        <w:t xml:space="preserve"> </w:t>
      </w:r>
      <w:r w:rsidRPr="00AA1F8F">
        <w:rPr>
          <w:rFonts w:ascii="Garamond" w:hAnsi="Garamond"/>
          <w:color w:val="000000"/>
          <w:sz w:val="24"/>
          <w:szCs w:val="24"/>
          <w:lang w:val="pt-PT"/>
        </w:rPr>
        <w:t>não fazem qualquer sentido pois demonstram a ignorância do que são contrapartidas ou a falta de leitura dos documentos, por exemplo o quesito 12 (BE):</w:t>
      </w:r>
    </w:p>
    <w:p w:rsidR="00AA1F8F" w:rsidRPr="00AA1F8F" w:rsidRDefault="00AA1F8F" w:rsidP="00AA1F8F">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Garamond" w:hAnsi="Garamond"/>
          <w:color w:val="000000"/>
          <w:sz w:val="24"/>
          <w:szCs w:val="24"/>
          <w:lang w:val="pt-PT"/>
        </w:rPr>
      </w:pPr>
    </w:p>
    <w:p w:rsidR="00AA1F8F" w:rsidRPr="00AA1F8F" w:rsidRDefault="00AA1F8F" w:rsidP="00AA1F8F">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Garamond" w:hAnsi="Garamond"/>
          <w:color w:val="000000"/>
          <w:sz w:val="24"/>
          <w:szCs w:val="24"/>
          <w:lang w:val="pt-PT"/>
        </w:rPr>
      </w:pPr>
      <w:r w:rsidRPr="00AA1F8F">
        <w:rPr>
          <w:rFonts w:ascii="Garamond" w:hAnsi="Garamond"/>
          <w:color w:val="000000"/>
          <w:sz w:val="24"/>
          <w:szCs w:val="24"/>
          <w:lang w:val="pt-PT"/>
        </w:rPr>
        <w:t>“Quais os valores de prestações contratadas e efetivamente liquidadas em cada um dos contratos de aquisição e de contrapartidas? “</w:t>
      </w:r>
    </w:p>
    <w:p w:rsidR="00AA1F8F" w:rsidRPr="00AA1F8F" w:rsidRDefault="00AA1F8F" w:rsidP="00AA1F8F">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Garamond" w:hAnsi="Garamond"/>
          <w:color w:val="000000"/>
          <w:sz w:val="24"/>
          <w:szCs w:val="24"/>
          <w:lang w:val="pt-PT"/>
        </w:rPr>
      </w:pPr>
      <w:r w:rsidRPr="00AA1F8F">
        <w:rPr>
          <w:rFonts w:ascii="Garamond" w:hAnsi="Garamond"/>
          <w:color w:val="000000"/>
          <w:sz w:val="24"/>
          <w:szCs w:val="24"/>
          <w:lang w:val="pt-PT"/>
        </w:rPr>
        <w:t>Ora, em caso algum existem pagamentos relativos a contrapartidas, pois estas são prestadas pelo fornecedor e não pelo Estado. Em qualquer caso, o valor contratado destas não implica o pagamento de qualquer prestação.</w:t>
      </w:r>
    </w:p>
    <w:p w:rsidR="00AA1F8F" w:rsidRPr="00AA1F8F" w:rsidRDefault="00AA1F8F" w:rsidP="00AA1F8F">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Garamond" w:hAnsi="Garamond"/>
          <w:color w:val="000000"/>
          <w:sz w:val="24"/>
          <w:szCs w:val="24"/>
          <w:lang w:val="pt-PT"/>
        </w:rPr>
      </w:pPr>
    </w:p>
    <w:p w:rsidR="00AA1F8F" w:rsidRPr="00AA1F8F" w:rsidRDefault="00F0090B" w:rsidP="00AA1F8F">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Garamond" w:hAnsi="Garamond"/>
          <w:color w:val="000000"/>
          <w:sz w:val="24"/>
          <w:szCs w:val="24"/>
          <w:lang w:val="pt-PT"/>
        </w:rPr>
      </w:pPr>
      <w:r>
        <w:rPr>
          <w:rFonts w:ascii="Garamond" w:hAnsi="Garamond"/>
          <w:color w:val="000000"/>
          <w:sz w:val="24"/>
          <w:szCs w:val="24"/>
          <w:lang w:val="pt-PT"/>
        </w:rPr>
        <w:t>2. Espantosamente, g</w:t>
      </w:r>
      <w:r w:rsidR="00AA1F8F" w:rsidRPr="00AA1F8F">
        <w:rPr>
          <w:rFonts w:ascii="Garamond" w:hAnsi="Garamond"/>
          <w:color w:val="000000"/>
          <w:sz w:val="24"/>
          <w:szCs w:val="24"/>
          <w:lang w:val="pt-PT"/>
        </w:rPr>
        <w:t>rande parte das questões presentes nos quesitos não foram</w:t>
      </w:r>
      <w:r>
        <w:rPr>
          <w:rFonts w:ascii="Garamond" w:hAnsi="Garamond"/>
          <w:color w:val="000000"/>
          <w:sz w:val="24"/>
          <w:szCs w:val="24"/>
          <w:lang w:val="pt-PT"/>
        </w:rPr>
        <w:t xml:space="preserve"> sequer</w:t>
      </w:r>
      <w:r w:rsidR="00AA1F8F" w:rsidRPr="00AA1F8F">
        <w:rPr>
          <w:rFonts w:ascii="Garamond" w:hAnsi="Garamond"/>
          <w:color w:val="000000"/>
          <w:sz w:val="24"/>
          <w:szCs w:val="24"/>
          <w:lang w:val="pt-PT"/>
        </w:rPr>
        <w:t xml:space="preserve"> levanta</w:t>
      </w:r>
      <w:r>
        <w:rPr>
          <w:rFonts w:ascii="Garamond" w:hAnsi="Garamond"/>
          <w:color w:val="000000"/>
          <w:sz w:val="24"/>
          <w:szCs w:val="24"/>
          <w:lang w:val="pt-PT"/>
        </w:rPr>
        <w:t>da</w:t>
      </w:r>
      <w:r w:rsidR="00AA1F8F" w:rsidRPr="00AA1F8F">
        <w:rPr>
          <w:rFonts w:ascii="Garamond" w:hAnsi="Garamond"/>
          <w:color w:val="000000"/>
          <w:sz w:val="24"/>
          <w:szCs w:val="24"/>
          <w:lang w:val="pt-PT"/>
        </w:rPr>
        <w:t>s pelos grupos parlamentares</w:t>
      </w:r>
      <w:r>
        <w:rPr>
          <w:rFonts w:ascii="Garamond" w:hAnsi="Garamond"/>
          <w:color w:val="000000"/>
          <w:sz w:val="24"/>
          <w:szCs w:val="24"/>
          <w:lang w:val="pt-PT"/>
        </w:rPr>
        <w:t xml:space="preserve"> do PS, PCP e BE</w:t>
      </w:r>
      <w:r w:rsidR="00AA1F8F" w:rsidRPr="00AA1F8F">
        <w:rPr>
          <w:rFonts w:ascii="Garamond" w:hAnsi="Garamond"/>
          <w:color w:val="000000"/>
          <w:sz w:val="24"/>
          <w:szCs w:val="24"/>
          <w:lang w:val="pt-PT"/>
        </w:rPr>
        <w:t xml:space="preserve">. Apesar disso, a resposta está nos </w:t>
      </w:r>
      <w:r w:rsidR="00AA1F8F" w:rsidRPr="00AA1F8F">
        <w:rPr>
          <w:rFonts w:ascii="Garamond" w:hAnsi="Garamond"/>
          <w:color w:val="000000"/>
          <w:sz w:val="24"/>
          <w:szCs w:val="24"/>
          <w:lang w:val="pt-PT"/>
        </w:rPr>
        <w:lastRenderedPageBreak/>
        <w:t>documentos recebidos pela Comissão e que até são citados por estes grupos parlamentares. Vejamos:</w:t>
      </w:r>
    </w:p>
    <w:p w:rsidR="00AA1F8F" w:rsidRPr="00AA1F8F" w:rsidRDefault="00AA1F8F" w:rsidP="00AA1F8F">
      <w:pPr>
        <w:autoSpaceDE w:val="0"/>
        <w:autoSpaceDN w:val="0"/>
        <w:adjustRightInd w:val="0"/>
        <w:spacing w:after="0" w:line="360" w:lineRule="auto"/>
        <w:jc w:val="both"/>
        <w:rPr>
          <w:rFonts w:ascii="Garamond" w:hAnsi="Garamond"/>
          <w:color w:val="000000"/>
          <w:sz w:val="28"/>
          <w:szCs w:val="28"/>
          <w:lang w:val="pt-PT"/>
        </w:rPr>
      </w:pPr>
    </w:p>
    <w:p w:rsidR="00AA1F8F" w:rsidRPr="00AA1F8F" w:rsidRDefault="00AA1F8F" w:rsidP="00AA1F8F">
      <w:pPr>
        <w:autoSpaceDE w:val="0"/>
        <w:autoSpaceDN w:val="0"/>
        <w:adjustRightInd w:val="0"/>
        <w:spacing w:after="0" w:line="360" w:lineRule="auto"/>
        <w:jc w:val="both"/>
        <w:rPr>
          <w:rFonts w:ascii="Garamond" w:hAnsi="Garamond"/>
          <w:color w:val="000000"/>
          <w:sz w:val="26"/>
          <w:szCs w:val="26"/>
          <w:lang w:val="pt-PT"/>
        </w:rPr>
      </w:pPr>
      <w:r w:rsidRPr="00AA1F8F">
        <w:rPr>
          <w:rFonts w:ascii="Garamond" w:hAnsi="Garamond"/>
          <w:color w:val="000000"/>
          <w:sz w:val="26"/>
          <w:szCs w:val="26"/>
          <w:lang w:val="pt-PT"/>
        </w:rPr>
        <w:t xml:space="preserve">-Quais foram os encargos decorrentes dos compromissos financeiros assumidos pelo Estado português na aquisição dos equipamentos militares EH -101, P -3 </w:t>
      </w:r>
      <w:proofErr w:type="spellStart"/>
      <w:r w:rsidRPr="00AA1F8F">
        <w:rPr>
          <w:rFonts w:ascii="Garamond" w:hAnsi="Garamond"/>
          <w:color w:val="000000"/>
          <w:sz w:val="26"/>
          <w:szCs w:val="26"/>
          <w:lang w:val="pt-PT"/>
        </w:rPr>
        <w:t>Orion</w:t>
      </w:r>
      <w:proofErr w:type="spellEnd"/>
      <w:r w:rsidRPr="00AA1F8F">
        <w:rPr>
          <w:rFonts w:ascii="Garamond" w:hAnsi="Garamond"/>
          <w:color w:val="000000"/>
          <w:sz w:val="26"/>
          <w:szCs w:val="26"/>
          <w:lang w:val="pt-PT"/>
        </w:rPr>
        <w:t xml:space="preserve">, C -295, torpedos, F -16,submarinos e viaturas blindadas de rodas 8×8 </w:t>
      </w:r>
      <w:proofErr w:type="spellStart"/>
      <w:r w:rsidRPr="00AA1F8F">
        <w:rPr>
          <w:rFonts w:ascii="Garamond" w:hAnsi="Garamond"/>
          <w:color w:val="000000"/>
          <w:sz w:val="26"/>
          <w:szCs w:val="26"/>
          <w:lang w:val="pt-PT"/>
        </w:rPr>
        <w:t>Pandur</w:t>
      </w:r>
      <w:proofErr w:type="spellEnd"/>
      <w:r w:rsidRPr="00AA1F8F">
        <w:rPr>
          <w:rFonts w:ascii="Garamond" w:hAnsi="Garamond"/>
          <w:color w:val="000000"/>
          <w:sz w:val="26"/>
          <w:szCs w:val="26"/>
          <w:lang w:val="pt-PT"/>
        </w:rPr>
        <w:t xml:space="preserve"> II? </w:t>
      </w:r>
    </w:p>
    <w:p w:rsidR="00AA1F8F" w:rsidRPr="00AA1F8F" w:rsidRDefault="00AA1F8F" w:rsidP="00AA1F8F">
      <w:pPr>
        <w:autoSpaceDE w:val="0"/>
        <w:autoSpaceDN w:val="0"/>
        <w:adjustRightInd w:val="0"/>
        <w:spacing w:after="0" w:line="360" w:lineRule="auto"/>
        <w:jc w:val="both"/>
        <w:rPr>
          <w:rFonts w:ascii="Garamond" w:hAnsi="Garamond"/>
          <w:color w:val="000000"/>
          <w:sz w:val="28"/>
          <w:szCs w:val="28"/>
          <w:lang w:val="pt-PT"/>
        </w:rPr>
      </w:pPr>
    </w:p>
    <w:p w:rsidR="00AA1F8F" w:rsidRPr="00AA1F8F" w:rsidRDefault="00AA1F8F" w:rsidP="00AA1F8F">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Garamond" w:hAnsi="Garamond" w:cs="Calibri"/>
          <w:color w:val="000000"/>
          <w:sz w:val="24"/>
          <w:szCs w:val="24"/>
          <w:lang w:val="pt-PT"/>
        </w:rPr>
      </w:pPr>
      <w:r w:rsidRPr="00AA1F8F">
        <w:rPr>
          <w:rFonts w:ascii="Garamond" w:hAnsi="Garamond" w:cs="Calibri"/>
          <w:color w:val="000000"/>
          <w:sz w:val="24"/>
          <w:szCs w:val="24"/>
          <w:lang w:val="pt-PT"/>
        </w:rPr>
        <w:t>Os encargos financeiros decorrentes dos programas de aquisição de equipamentos militares encontram-se descritos no Relatório n.º1/106 – 2.ªS – Acompanhamento da Lei de Programação Militar, elaborado em 2006 pelo Tribunal de Contas que abrangeu os anos de 1996 a 2005, assim como no Relatório n.º22/2012 – 2.ª S e a Auditoria de acompanhamento Permanente da Lei de Programação Militar, Processo n.º46/2011, para o período de 2006 a 2011.</w:t>
      </w:r>
    </w:p>
    <w:p w:rsidR="00AA1F8F" w:rsidRPr="00AA1F8F" w:rsidRDefault="00AA1F8F" w:rsidP="00AA1F8F">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Garamond" w:hAnsi="Garamond" w:cs="Calibri"/>
          <w:color w:val="000000"/>
          <w:sz w:val="24"/>
          <w:szCs w:val="24"/>
          <w:lang w:val="pt-PT"/>
        </w:rPr>
      </w:pPr>
      <w:r w:rsidRPr="00AA1F8F">
        <w:rPr>
          <w:rFonts w:ascii="Garamond" w:hAnsi="Garamond" w:cs="Calibri"/>
          <w:color w:val="000000"/>
          <w:sz w:val="24"/>
          <w:szCs w:val="24"/>
          <w:lang w:val="pt-PT"/>
        </w:rPr>
        <w:t>Mais especificamente</w:t>
      </w:r>
      <w:proofErr w:type="gramStart"/>
      <w:r w:rsidRPr="00AA1F8F">
        <w:rPr>
          <w:rFonts w:ascii="Garamond" w:hAnsi="Garamond" w:cs="Calibri"/>
          <w:color w:val="000000"/>
          <w:sz w:val="24"/>
          <w:szCs w:val="24"/>
          <w:lang w:val="pt-PT"/>
        </w:rPr>
        <w:t>,</w:t>
      </w:r>
      <w:proofErr w:type="gramEnd"/>
      <w:r w:rsidRPr="00AA1F8F">
        <w:rPr>
          <w:rFonts w:ascii="Garamond" w:hAnsi="Garamond" w:cs="Calibri"/>
          <w:color w:val="000000"/>
          <w:sz w:val="24"/>
          <w:szCs w:val="24"/>
          <w:lang w:val="pt-PT"/>
        </w:rPr>
        <w:t xml:space="preserve"> foram referidos, nos trabalhos da Comissão, o programa de fornecimento e manutenção de helicópteros EH-101 em 610M€ – com pagamentos até 2011 de 236.5M€ e compromissos até 2020 de 373,5M€ -, a aquisição de submarinos da classe Tridente – 1,001M€ - e o contrato de fornecimento de Viaturas Blindadas de Rodas com o custo original de 344,2M€.</w:t>
      </w:r>
    </w:p>
    <w:p w:rsidR="00AA1F8F" w:rsidRPr="00AA1F8F" w:rsidRDefault="00AA1F8F" w:rsidP="00AA1F8F">
      <w:pPr>
        <w:autoSpaceDE w:val="0"/>
        <w:autoSpaceDN w:val="0"/>
        <w:adjustRightInd w:val="0"/>
        <w:spacing w:after="0" w:line="360" w:lineRule="auto"/>
        <w:jc w:val="both"/>
        <w:rPr>
          <w:rFonts w:ascii="Garamond" w:hAnsi="Garamond" w:cs="Arial"/>
          <w:color w:val="000000"/>
          <w:sz w:val="28"/>
          <w:szCs w:val="28"/>
          <w:lang w:val="pt-PT"/>
        </w:rPr>
      </w:pPr>
    </w:p>
    <w:p w:rsidR="00AA1F8F" w:rsidRPr="00AA1F8F" w:rsidRDefault="00AA1F8F" w:rsidP="00AA1F8F">
      <w:pPr>
        <w:autoSpaceDE w:val="0"/>
        <w:autoSpaceDN w:val="0"/>
        <w:adjustRightInd w:val="0"/>
        <w:spacing w:after="0" w:line="360" w:lineRule="auto"/>
        <w:jc w:val="both"/>
        <w:rPr>
          <w:rFonts w:ascii="Garamond" w:hAnsi="Garamond"/>
          <w:color w:val="000000"/>
          <w:sz w:val="26"/>
          <w:szCs w:val="26"/>
          <w:lang w:val="pt-PT"/>
        </w:rPr>
      </w:pPr>
      <w:r w:rsidRPr="00AA1F8F">
        <w:rPr>
          <w:rFonts w:ascii="Garamond" w:hAnsi="Garamond"/>
          <w:color w:val="000000"/>
          <w:sz w:val="26"/>
          <w:szCs w:val="26"/>
          <w:lang w:val="pt-PT"/>
        </w:rPr>
        <w:t xml:space="preserve">- Quais foram os montantes, as prestações e condições estabelecidos nos contratos conexos à aquisição dos equipamentos em questão? </w:t>
      </w:r>
    </w:p>
    <w:p w:rsidR="00AA1F8F" w:rsidRPr="00AA1F8F" w:rsidRDefault="00AA1F8F" w:rsidP="00AA1F8F">
      <w:pPr>
        <w:autoSpaceDE w:val="0"/>
        <w:autoSpaceDN w:val="0"/>
        <w:adjustRightInd w:val="0"/>
        <w:spacing w:after="0" w:line="360" w:lineRule="auto"/>
        <w:jc w:val="both"/>
        <w:rPr>
          <w:rFonts w:ascii="Garamond" w:hAnsi="Garamond"/>
          <w:color w:val="000000"/>
          <w:sz w:val="28"/>
          <w:szCs w:val="28"/>
          <w:lang w:val="pt-PT"/>
        </w:rPr>
      </w:pPr>
    </w:p>
    <w:p w:rsidR="00AA1F8F" w:rsidRPr="00AA1F8F" w:rsidRDefault="00AA1F8F" w:rsidP="00AA1F8F">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Garamond" w:hAnsi="Garamond" w:cs="Arial"/>
          <w:color w:val="000000"/>
          <w:sz w:val="28"/>
          <w:szCs w:val="28"/>
          <w:lang w:val="pt-PT"/>
        </w:rPr>
      </w:pPr>
      <w:r w:rsidRPr="00AA1F8F">
        <w:rPr>
          <w:rFonts w:ascii="Garamond" w:hAnsi="Garamond" w:cs="Calibri"/>
          <w:color w:val="000000"/>
          <w:sz w:val="24"/>
          <w:szCs w:val="24"/>
          <w:lang w:val="pt-PT"/>
        </w:rPr>
        <w:t xml:space="preserve">Esta questão nunca foi colocada, </w:t>
      </w:r>
      <w:proofErr w:type="spellStart"/>
      <w:r w:rsidRPr="00AA1F8F">
        <w:rPr>
          <w:rFonts w:ascii="Garamond" w:hAnsi="Garamond" w:cs="Calibri"/>
          <w:color w:val="000000"/>
          <w:sz w:val="24"/>
          <w:szCs w:val="24"/>
          <w:lang w:val="pt-PT"/>
        </w:rPr>
        <w:t>directamente</w:t>
      </w:r>
      <w:proofErr w:type="spellEnd"/>
      <w:r w:rsidRPr="00AA1F8F">
        <w:rPr>
          <w:rFonts w:ascii="Garamond" w:hAnsi="Garamond" w:cs="Calibri"/>
          <w:color w:val="000000"/>
          <w:sz w:val="24"/>
          <w:szCs w:val="24"/>
          <w:lang w:val="pt-PT"/>
        </w:rPr>
        <w:t xml:space="preserve">, pela comissão, sendo certo que, atento o modo exaustivo que foram tratados, no relatório, todas estas questões respeitantes a cada um dos programas militares, remete-se a resposta </w:t>
      </w:r>
      <w:r w:rsidR="00F0090B">
        <w:rPr>
          <w:rFonts w:ascii="Garamond" w:hAnsi="Garamond" w:cs="Calibri"/>
          <w:color w:val="000000"/>
          <w:sz w:val="24"/>
          <w:szCs w:val="24"/>
          <w:lang w:val="pt-PT"/>
        </w:rPr>
        <w:t xml:space="preserve">para </w:t>
      </w:r>
      <w:r w:rsidRPr="00AA1F8F">
        <w:rPr>
          <w:rFonts w:ascii="Garamond" w:hAnsi="Garamond" w:cs="Calibri"/>
          <w:color w:val="000000"/>
          <w:sz w:val="24"/>
          <w:szCs w:val="24"/>
          <w:lang w:val="pt-PT"/>
        </w:rPr>
        <w:t>o relatório</w:t>
      </w:r>
      <w:r w:rsidRPr="00AA1F8F">
        <w:rPr>
          <w:rFonts w:ascii="Garamond" w:hAnsi="Garamond" w:cs="Arial"/>
          <w:color w:val="000000"/>
          <w:sz w:val="28"/>
          <w:szCs w:val="28"/>
          <w:lang w:val="pt-PT"/>
        </w:rPr>
        <w:t>.</w:t>
      </w:r>
    </w:p>
    <w:p w:rsidR="00AA1F8F" w:rsidRPr="00AA1F8F" w:rsidRDefault="00AA1F8F" w:rsidP="00AA1F8F">
      <w:pPr>
        <w:autoSpaceDE w:val="0"/>
        <w:autoSpaceDN w:val="0"/>
        <w:adjustRightInd w:val="0"/>
        <w:spacing w:after="0" w:line="360" w:lineRule="auto"/>
        <w:jc w:val="both"/>
        <w:rPr>
          <w:rFonts w:ascii="Garamond" w:hAnsi="Garamond" w:cs="Arial"/>
          <w:color w:val="000000"/>
          <w:sz w:val="28"/>
          <w:szCs w:val="28"/>
          <w:lang w:val="pt-PT"/>
        </w:rPr>
      </w:pPr>
    </w:p>
    <w:p w:rsidR="00AA1F8F" w:rsidRPr="00AA1F8F" w:rsidRDefault="00AA1F8F" w:rsidP="00AA1F8F">
      <w:pPr>
        <w:autoSpaceDE w:val="0"/>
        <w:autoSpaceDN w:val="0"/>
        <w:adjustRightInd w:val="0"/>
        <w:spacing w:after="0" w:line="360" w:lineRule="auto"/>
        <w:jc w:val="both"/>
        <w:rPr>
          <w:rFonts w:ascii="Garamond" w:hAnsi="Garamond"/>
          <w:color w:val="000000"/>
          <w:sz w:val="26"/>
          <w:szCs w:val="26"/>
          <w:lang w:val="pt-PT"/>
        </w:rPr>
      </w:pPr>
      <w:r w:rsidRPr="00AA1F8F">
        <w:rPr>
          <w:rFonts w:ascii="Garamond" w:hAnsi="Garamond"/>
          <w:color w:val="000000"/>
          <w:sz w:val="26"/>
          <w:szCs w:val="26"/>
          <w:lang w:val="pt-PT"/>
        </w:rPr>
        <w:lastRenderedPageBreak/>
        <w:t xml:space="preserve">- Que obrigações de prestação de contrapartidas foram assumidas por esses fornecedores? </w:t>
      </w:r>
    </w:p>
    <w:p w:rsidR="00AA1F8F" w:rsidRPr="00AA1F8F" w:rsidRDefault="00AA1F8F" w:rsidP="00AA1F8F">
      <w:pPr>
        <w:autoSpaceDE w:val="0"/>
        <w:autoSpaceDN w:val="0"/>
        <w:adjustRightInd w:val="0"/>
        <w:spacing w:after="0" w:line="360" w:lineRule="auto"/>
        <w:jc w:val="both"/>
        <w:rPr>
          <w:rFonts w:ascii="Garamond" w:hAnsi="Garamond" w:cs="Arial"/>
          <w:color w:val="000000"/>
          <w:sz w:val="28"/>
          <w:szCs w:val="28"/>
          <w:lang w:val="pt-PT"/>
        </w:rPr>
      </w:pPr>
    </w:p>
    <w:p w:rsidR="00AA1F8F" w:rsidRPr="00AA1F8F" w:rsidRDefault="00AA1F8F" w:rsidP="00AA1F8F">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Garamond" w:hAnsi="Garamond" w:cs="Calibri"/>
          <w:color w:val="000000"/>
          <w:sz w:val="24"/>
          <w:szCs w:val="24"/>
          <w:lang w:val="pt-PT"/>
        </w:rPr>
      </w:pPr>
      <w:r w:rsidRPr="00AA1F8F">
        <w:rPr>
          <w:rFonts w:ascii="Garamond" w:hAnsi="Garamond" w:cs="Calibri"/>
          <w:color w:val="000000"/>
          <w:sz w:val="24"/>
          <w:szCs w:val="24"/>
          <w:lang w:val="pt-PT"/>
        </w:rPr>
        <w:t>A Comissão utilizou, para esta questão e para a seguinte, a informação constante no Relatório Anual de Contrapartidas 2013, realizado pela DGAE – Ministério da Economia, que foi anexa ao relatório. Assim como as informações sobre os desenvolvimentos em 2014, fornecidas pelo ministro da Economia e pelo Diretor-geral de Atividades Económicas.</w:t>
      </w:r>
    </w:p>
    <w:p w:rsidR="00AA1F8F" w:rsidRPr="00AA1F8F" w:rsidRDefault="00AA1F8F" w:rsidP="00AA1F8F">
      <w:pPr>
        <w:autoSpaceDE w:val="0"/>
        <w:autoSpaceDN w:val="0"/>
        <w:adjustRightInd w:val="0"/>
        <w:spacing w:after="0" w:line="360" w:lineRule="auto"/>
        <w:jc w:val="both"/>
        <w:rPr>
          <w:rFonts w:ascii="Garamond" w:hAnsi="Garamond"/>
          <w:color w:val="000000"/>
          <w:sz w:val="26"/>
          <w:szCs w:val="26"/>
          <w:lang w:val="pt-PT"/>
        </w:rPr>
      </w:pPr>
      <w:r w:rsidRPr="00AA1F8F">
        <w:rPr>
          <w:rFonts w:ascii="Garamond" w:hAnsi="Garamond"/>
          <w:color w:val="000000"/>
          <w:sz w:val="26"/>
          <w:szCs w:val="26"/>
          <w:lang w:val="pt-PT"/>
        </w:rPr>
        <w:t xml:space="preserve">-. Em que estado se encontra o cumprimento dessas obrigações de prestação de contrapartidas? </w:t>
      </w:r>
    </w:p>
    <w:p w:rsidR="00AA1F8F" w:rsidRPr="00AA1F8F" w:rsidRDefault="00AA1F8F" w:rsidP="00AA1F8F">
      <w:pPr>
        <w:autoSpaceDE w:val="0"/>
        <w:autoSpaceDN w:val="0"/>
        <w:adjustRightInd w:val="0"/>
        <w:spacing w:after="0" w:line="360" w:lineRule="auto"/>
        <w:jc w:val="both"/>
        <w:rPr>
          <w:rFonts w:ascii="Garamond" w:hAnsi="Garamond" w:cs="Arial"/>
          <w:color w:val="000000"/>
          <w:sz w:val="28"/>
          <w:szCs w:val="28"/>
          <w:lang w:val="pt-PT"/>
        </w:rPr>
      </w:pPr>
    </w:p>
    <w:p w:rsidR="00AA1F8F" w:rsidRPr="00AA1F8F" w:rsidRDefault="00AA1F8F" w:rsidP="00AA1F8F">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Garamond" w:hAnsi="Garamond" w:cs="Calibri"/>
          <w:color w:val="000000"/>
          <w:sz w:val="24"/>
          <w:szCs w:val="24"/>
          <w:lang w:val="pt-PT"/>
        </w:rPr>
      </w:pPr>
      <w:r w:rsidRPr="00AA1F8F">
        <w:rPr>
          <w:rFonts w:ascii="Garamond" w:hAnsi="Garamond" w:cs="Calibri"/>
          <w:color w:val="000000"/>
          <w:sz w:val="24"/>
          <w:szCs w:val="24"/>
          <w:lang w:val="pt-PT"/>
        </w:rPr>
        <w:t>Também esta informação consta, igualmente, no Relatório Anual de Contrapartidas 2013, realizado pela DGAE – Ministério da Economia, que foi anexa ao relatório.</w:t>
      </w:r>
    </w:p>
    <w:p w:rsidR="00AA1F8F" w:rsidRPr="00AA1F8F" w:rsidRDefault="00AA1F8F" w:rsidP="00AA1F8F">
      <w:pPr>
        <w:autoSpaceDE w:val="0"/>
        <w:autoSpaceDN w:val="0"/>
        <w:adjustRightInd w:val="0"/>
        <w:spacing w:after="0" w:line="360" w:lineRule="auto"/>
        <w:jc w:val="both"/>
        <w:rPr>
          <w:rFonts w:ascii="Garamond" w:hAnsi="Garamond" w:cs="Arial"/>
          <w:color w:val="000000"/>
          <w:sz w:val="28"/>
          <w:szCs w:val="28"/>
          <w:lang w:val="pt-PT"/>
        </w:rPr>
      </w:pPr>
    </w:p>
    <w:p w:rsidR="00AA1F8F" w:rsidRPr="00AA1F8F" w:rsidRDefault="00AA1F8F" w:rsidP="00AA1F8F">
      <w:pPr>
        <w:autoSpaceDE w:val="0"/>
        <w:autoSpaceDN w:val="0"/>
        <w:adjustRightInd w:val="0"/>
        <w:spacing w:after="0" w:line="360" w:lineRule="auto"/>
        <w:jc w:val="both"/>
        <w:rPr>
          <w:rFonts w:ascii="Garamond" w:hAnsi="Garamond"/>
          <w:color w:val="000000"/>
          <w:sz w:val="26"/>
          <w:szCs w:val="26"/>
          <w:lang w:val="pt-PT"/>
        </w:rPr>
      </w:pPr>
      <w:r w:rsidRPr="00AA1F8F">
        <w:rPr>
          <w:rFonts w:ascii="Garamond" w:hAnsi="Garamond"/>
          <w:color w:val="000000"/>
          <w:sz w:val="26"/>
          <w:szCs w:val="26"/>
          <w:lang w:val="pt-PT"/>
        </w:rPr>
        <w:t xml:space="preserve">- Foi acautelado o interesse do Estado e do erário público na definição das condições constantes dos contratos de fornecimento e de contrapartidas relativos aos equipamentos abrangidos pelos programas de aquisição dos equipamentos? </w:t>
      </w:r>
    </w:p>
    <w:p w:rsidR="00AA1F8F" w:rsidRPr="00AA1F8F" w:rsidRDefault="00AA1F8F" w:rsidP="00AA1F8F">
      <w:pPr>
        <w:spacing w:line="360" w:lineRule="auto"/>
        <w:jc w:val="both"/>
        <w:rPr>
          <w:rFonts w:ascii="Garamond" w:hAnsi="Garamond"/>
          <w:color w:val="000000"/>
          <w:sz w:val="26"/>
          <w:szCs w:val="26"/>
          <w:lang w:val="pt-PT"/>
        </w:rPr>
      </w:pPr>
      <w:r w:rsidRPr="00AA1F8F">
        <w:rPr>
          <w:rFonts w:ascii="Garamond" w:hAnsi="Garamond"/>
          <w:color w:val="000000"/>
          <w:sz w:val="26"/>
          <w:szCs w:val="26"/>
          <w:lang w:val="pt-PT"/>
        </w:rPr>
        <w:t>-. Foi acautelado o interesse do Estado e do erário público na definição das condições constantes nas cláusulas que limitam a responsabilidade dos fornecedores?</w:t>
      </w:r>
    </w:p>
    <w:p w:rsidR="00AA1F8F" w:rsidRPr="00AA1F8F" w:rsidRDefault="00AA1F8F" w:rsidP="00AA1F8F">
      <w:pPr>
        <w:autoSpaceDE w:val="0"/>
        <w:autoSpaceDN w:val="0"/>
        <w:adjustRightInd w:val="0"/>
        <w:spacing w:after="0" w:line="360" w:lineRule="auto"/>
        <w:jc w:val="both"/>
        <w:rPr>
          <w:rFonts w:ascii="Garamond" w:hAnsi="Garamond"/>
          <w:color w:val="000000"/>
          <w:sz w:val="28"/>
          <w:szCs w:val="28"/>
          <w:lang w:val="pt-PT"/>
        </w:rPr>
      </w:pPr>
    </w:p>
    <w:p w:rsidR="00AA1F8F" w:rsidRPr="00AA1F8F" w:rsidRDefault="00AA1F8F" w:rsidP="00AA1F8F">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Garamond" w:hAnsi="Garamond" w:cs="Calibri"/>
          <w:color w:val="000000"/>
          <w:sz w:val="24"/>
          <w:szCs w:val="24"/>
          <w:lang w:val="pt-PT"/>
        </w:rPr>
      </w:pPr>
      <w:r w:rsidRPr="00AA1F8F">
        <w:rPr>
          <w:rFonts w:ascii="Garamond" w:hAnsi="Garamond" w:cs="Calibri"/>
          <w:color w:val="000000"/>
          <w:sz w:val="24"/>
          <w:szCs w:val="24"/>
          <w:lang w:val="pt-PT"/>
        </w:rPr>
        <w:t xml:space="preserve">Sobre estas questões, a Comissão ouviu os responsáveis políticos, assim como os secretários-gerais do MDN, consultores jurídicos, presidentes da CPC e o presidente da INTELI. </w:t>
      </w:r>
    </w:p>
    <w:p w:rsidR="00AA1F8F" w:rsidRPr="00AA1F8F" w:rsidRDefault="00AA1F8F" w:rsidP="00AA1F8F">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Garamond" w:hAnsi="Garamond" w:cs="Calibri"/>
          <w:color w:val="000000"/>
          <w:sz w:val="24"/>
          <w:szCs w:val="24"/>
          <w:lang w:val="pt-PT"/>
        </w:rPr>
      </w:pPr>
      <w:r w:rsidRPr="00AA1F8F">
        <w:rPr>
          <w:rFonts w:ascii="Garamond" w:hAnsi="Garamond" w:cs="Calibri"/>
          <w:color w:val="000000"/>
          <w:sz w:val="24"/>
          <w:szCs w:val="24"/>
          <w:lang w:val="pt-PT"/>
        </w:rPr>
        <w:t xml:space="preserve">Especificamente sobre o contrato dos submarinos, a Comissão apurou que, porque o concurso foi lançado antes do Despacho Conjunto nº 341/99, não era feita qualquer </w:t>
      </w:r>
      <w:r w:rsidRPr="00AA1F8F">
        <w:rPr>
          <w:rFonts w:ascii="Garamond" w:hAnsi="Garamond" w:cs="Calibri"/>
          <w:color w:val="000000"/>
          <w:sz w:val="24"/>
          <w:szCs w:val="24"/>
          <w:lang w:val="pt-PT"/>
        </w:rPr>
        <w:lastRenderedPageBreak/>
        <w:t xml:space="preserve">menção, na Resolução do Conselho de Ministros n.º 14/98, nem a penalidades por incumprimento e contrapartidas, nem a garantia dessas penalidades. </w:t>
      </w:r>
    </w:p>
    <w:p w:rsidR="00AA1F8F" w:rsidRPr="00AA1F8F" w:rsidRDefault="00AA1F8F" w:rsidP="00AA1F8F">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Garamond" w:hAnsi="Garamond" w:cs="Calibri"/>
          <w:color w:val="000000"/>
          <w:sz w:val="24"/>
          <w:szCs w:val="24"/>
          <w:lang w:val="pt-PT"/>
        </w:rPr>
      </w:pPr>
      <w:r w:rsidRPr="00AA1F8F">
        <w:rPr>
          <w:rFonts w:ascii="Garamond" w:hAnsi="Garamond" w:cs="Calibri"/>
          <w:color w:val="000000"/>
          <w:sz w:val="24"/>
          <w:szCs w:val="24"/>
          <w:lang w:val="pt-PT"/>
        </w:rPr>
        <w:t xml:space="preserve">Apenas com o Enquadramento Contratual de Contrapartidas, assinado com os concorrentes em novembro de 2000, é que passou a existir a definição </w:t>
      </w:r>
      <w:r w:rsidR="00F0090B">
        <w:rPr>
          <w:rFonts w:ascii="Garamond" w:hAnsi="Garamond" w:cs="Calibri"/>
          <w:color w:val="000000"/>
          <w:sz w:val="24"/>
          <w:szCs w:val="24"/>
          <w:lang w:val="pt-PT"/>
        </w:rPr>
        <w:t>frágil</w:t>
      </w:r>
      <w:r w:rsidRPr="00AA1F8F">
        <w:rPr>
          <w:rFonts w:ascii="Garamond" w:hAnsi="Garamond" w:cs="Calibri"/>
          <w:color w:val="000000"/>
          <w:sz w:val="24"/>
          <w:szCs w:val="24"/>
          <w:lang w:val="pt-PT"/>
        </w:rPr>
        <w:t xml:space="preserve"> do interesse do Estado, as penalidades e a definição das contrapartidas</w:t>
      </w:r>
      <w:r w:rsidRPr="00AA1F8F">
        <w:rPr>
          <w:rFonts w:ascii="Garamond" w:hAnsi="Garamond"/>
          <w:color w:val="000000"/>
          <w:sz w:val="28"/>
          <w:szCs w:val="28"/>
          <w:lang w:val="pt-PT"/>
        </w:rPr>
        <w:t xml:space="preserve">. </w:t>
      </w:r>
      <w:r w:rsidRPr="00AA1F8F">
        <w:rPr>
          <w:rFonts w:ascii="Garamond" w:hAnsi="Garamond" w:cs="Calibri"/>
          <w:color w:val="000000"/>
          <w:sz w:val="24"/>
          <w:szCs w:val="24"/>
          <w:lang w:val="pt-PT"/>
        </w:rPr>
        <w:t>Ou seja, durante os governos socialistas.</w:t>
      </w:r>
    </w:p>
    <w:p w:rsidR="00AA1F8F" w:rsidRPr="00AA1F8F" w:rsidRDefault="00AA1F8F" w:rsidP="00AA1F8F">
      <w:pPr>
        <w:autoSpaceDE w:val="0"/>
        <w:autoSpaceDN w:val="0"/>
        <w:adjustRightInd w:val="0"/>
        <w:spacing w:after="0" w:line="360" w:lineRule="auto"/>
        <w:jc w:val="both"/>
        <w:rPr>
          <w:rFonts w:ascii="Garamond" w:hAnsi="Garamond" w:cs="Arial"/>
          <w:color w:val="000000"/>
          <w:sz w:val="28"/>
          <w:szCs w:val="28"/>
          <w:lang w:val="pt-PT"/>
        </w:rPr>
      </w:pPr>
    </w:p>
    <w:p w:rsidR="00AA1F8F" w:rsidRPr="00AA1F8F" w:rsidRDefault="00AA1F8F" w:rsidP="00AA1F8F">
      <w:pPr>
        <w:pStyle w:val="Default"/>
        <w:spacing w:line="360" w:lineRule="auto"/>
        <w:jc w:val="both"/>
        <w:rPr>
          <w:rFonts w:ascii="Garamond" w:hAnsi="Garamond"/>
        </w:rPr>
      </w:pPr>
    </w:p>
    <w:p w:rsidR="00AA1F8F" w:rsidRPr="00AA1F8F" w:rsidRDefault="00AA1F8F" w:rsidP="00AA1F8F">
      <w:pPr>
        <w:pStyle w:val="Default"/>
        <w:spacing w:line="360" w:lineRule="auto"/>
        <w:jc w:val="both"/>
        <w:rPr>
          <w:rFonts w:ascii="Garamond" w:hAnsi="Garamond"/>
          <w:b/>
          <w:bCs/>
          <w:sz w:val="26"/>
          <w:szCs w:val="26"/>
        </w:rPr>
      </w:pPr>
      <w:r w:rsidRPr="00AA1F8F">
        <w:rPr>
          <w:rFonts w:ascii="Garamond" w:hAnsi="Garamond"/>
          <w:b/>
          <w:bCs/>
          <w:sz w:val="26"/>
          <w:szCs w:val="26"/>
        </w:rPr>
        <w:t xml:space="preserve">2- UM RELATÓRIO DE BRANQUEAMENTO DAS “PRÉ-CONTRAPARTIDAS” DOS SUBMARINOS </w:t>
      </w:r>
    </w:p>
    <w:p w:rsidR="00AA1F8F" w:rsidRPr="00AA1F8F" w:rsidRDefault="00AA1F8F" w:rsidP="00AA1F8F">
      <w:pPr>
        <w:pStyle w:val="Default"/>
        <w:spacing w:line="360" w:lineRule="auto"/>
        <w:jc w:val="both"/>
        <w:rPr>
          <w:rFonts w:ascii="Garamond" w:hAnsi="Garamond"/>
          <w:sz w:val="26"/>
          <w:szCs w:val="26"/>
        </w:rPr>
      </w:pPr>
    </w:p>
    <w:p w:rsidR="00AA1F8F" w:rsidRPr="00AA1F8F" w:rsidRDefault="00AA1F8F" w:rsidP="00AA1F8F">
      <w:pPr>
        <w:spacing w:line="360" w:lineRule="auto"/>
        <w:jc w:val="both"/>
        <w:rPr>
          <w:rFonts w:ascii="Garamond" w:hAnsi="Garamond"/>
          <w:sz w:val="26"/>
          <w:szCs w:val="26"/>
          <w:lang w:val="pt-PT"/>
        </w:rPr>
      </w:pPr>
      <w:r w:rsidRPr="00AA1F8F">
        <w:rPr>
          <w:rFonts w:ascii="Garamond" w:hAnsi="Garamond"/>
          <w:sz w:val="26"/>
          <w:szCs w:val="26"/>
          <w:lang w:val="pt-PT"/>
        </w:rPr>
        <w:t xml:space="preserve">Tendo havido aceitação de “pré-contrapartidas”, a legalidade da aceitação nem é equacionada, nem foi investigada. Houve, de resto, desaparecimento de </w:t>
      </w:r>
      <w:proofErr w:type="spellStart"/>
      <w:r w:rsidRPr="00AA1F8F">
        <w:rPr>
          <w:rFonts w:ascii="Garamond" w:hAnsi="Garamond"/>
          <w:sz w:val="26"/>
          <w:szCs w:val="26"/>
          <w:lang w:val="pt-PT"/>
        </w:rPr>
        <w:t>actas</w:t>
      </w:r>
      <w:proofErr w:type="spellEnd"/>
      <w:r w:rsidRPr="00AA1F8F">
        <w:rPr>
          <w:rFonts w:ascii="Garamond" w:hAnsi="Garamond"/>
          <w:sz w:val="26"/>
          <w:szCs w:val="26"/>
          <w:lang w:val="pt-PT"/>
        </w:rPr>
        <w:t xml:space="preserve"> que documentam o trabalho das sucessivas entidades responsáveis por contrapartidas</w:t>
      </w:r>
    </w:p>
    <w:p w:rsidR="00AA1F8F" w:rsidRPr="00AA1F8F" w:rsidRDefault="00AA1F8F" w:rsidP="00AA1F8F">
      <w:pPr>
        <w:pBdr>
          <w:top w:val="single" w:sz="4" w:space="1" w:color="auto"/>
          <w:left w:val="single" w:sz="4" w:space="4" w:color="auto"/>
          <w:bottom w:val="single" w:sz="4" w:space="1" w:color="auto"/>
          <w:right w:val="single" w:sz="4" w:space="4" w:color="auto"/>
        </w:pBdr>
        <w:spacing w:line="360" w:lineRule="auto"/>
        <w:jc w:val="both"/>
        <w:rPr>
          <w:rFonts w:ascii="Garamond" w:hAnsi="Garamond"/>
          <w:sz w:val="24"/>
          <w:szCs w:val="24"/>
          <w:lang w:val="pt-PT"/>
        </w:rPr>
      </w:pPr>
      <w:r w:rsidRPr="00AA1F8F">
        <w:rPr>
          <w:rFonts w:ascii="Garamond" w:hAnsi="Garamond"/>
          <w:sz w:val="24"/>
          <w:szCs w:val="24"/>
          <w:lang w:val="pt-PT"/>
        </w:rPr>
        <w:t xml:space="preserve">A aceitação de pré-contrapartidas foi realizada, em documento assinado pela Comissão PRAS em representação do Estado, durante o governo socialista, conforme se demonstra pela leitura da </w:t>
      </w:r>
      <w:proofErr w:type="spellStart"/>
      <w:r w:rsidRPr="00AA1F8F">
        <w:rPr>
          <w:rFonts w:ascii="Garamond" w:hAnsi="Garamond"/>
          <w:sz w:val="24"/>
          <w:szCs w:val="24"/>
          <w:lang w:val="pt-PT"/>
        </w:rPr>
        <w:t>acta</w:t>
      </w:r>
      <w:proofErr w:type="spellEnd"/>
      <w:r w:rsidRPr="00AA1F8F">
        <w:rPr>
          <w:rFonts w:ascii="Garamond" w:hAnsi="Garamond"/>
          <w:sz w:val="24"/>
          <w:szCs w:val="24"/>
          <w:lang w:val="pt-PT"/>
        </w:rPr>
        <w:t xml:space="preserve"> 49, de 2 de outubro de 2000. Quanto à legalidade, esta dependia dos diplomas e resoluções do mesmo governo PS. Por fim, as únicas </w:t>
      </w:r>
      <w:proofErr w:type="spellStart"/>
      <w:r w:rsidRPr="00AA1F8F">
        <w:rPr>
          <w:rFonts w:ascii="Garamond" w:hAnsi="Garamond"/>
          <w:sz w:val="24"/>
          <w:szCs w:val="24"/>
          <w:lang w:val="pt-PT"/>
        </w:rPr>
        <w:t>actas</w:t>
      </w:r>
      <w:proofErr w:type="spellEnd"/>
      <w:r w:rsidRPr="00AA1F8F">
        <w:rPr>
          <w:rFonts w:ascii="Garamond" w:hAnsi="Garamond"/>
          <w:sz w:val="24"/>
          <w:szCs w:val="24"/>
          <w:lang w:val="pt-PT"/>
        </w:rPr>
        <w:t xml:space="preserve"> que não foram encontradas e não constam do acervo desta Comissão – não tendo sido apurado se alguma vez existiram – são as anteriores a 2003, e ao XV Governo de maioria PSD/CDS.</w:t>
      </w:r>
    </w:p>
    <w:p w:rsidR="00AA1F8F" w:rsidRPr="00AA1F8F" w:rsidRDefault="00AA1F8F" w:rsidP="00AA1F8F">
      <w:pPr>
        <w:spacing w:line="360" w:lineRule="auto"/>
        <w:jc w:val="both"/>
        <w:rPr>
          <w:rFonts w:ascii="Garamond" w:hAnsi="Garamond"/>
          <w:sz w:val="26"/>
          <w:szCs w:val="26"/>
          <w:lang w:val="pt-PT"/>
        </w:rPr>
      </w:pPr>
      <w:r w:rsidRPr="00AA1F8F">
        <w:rPr>
          <w:rFonts w:ascii="Garamond" w:hAnsi="Garamond"/>
          <w:sz w:val="26"/>
          <w:szCs w:val="26"/>
          <w:lang w:val="pt-PT"/>
        </w:rPr>
        <w:t xml:space="preserve">A avaliação do regime </w:t>
      </w:r>
      <w:proofErr w:type="spellStart"/>
      <w:r w:rsidRPr="00AA1F8F">
        <w:rPr>
          <w:rFonts w:ascii="Garamond" w:hAnsi="Garamond"/>
          <w:sz w:val="26"/>
          <w:szCs w:val="26"/>
          <w:lang w:val="pt-PT"/>
        </w:rPr>
        <w:t>adoptado</w:t>
      </w:r>
      <w:proofErr w:type="spellEnd"/>
      <w:r w:rsidRPr="00AA1F8F">
        <w:rPr>
          <w:rFonts w:ascii="Garamond" w:hAnsi="Garamond"/>
          <w:sz w:val="26"/>
          <w:szCs w:val="26"/>
          <w:lang w:val="pt-PT"/>
        </w:rPr>
        <w:t xml:space="preserve"> em matéria de contrapartidas é feita em termos genéricos, prescindindo de elementos fornecidos por depoentes. Nessa nebulosa fáctica encaixam narrativas de atenuação de responsabilidades próprias e de execração das alheias, em dicotomia simplista.</w:t>
      </w:r>
    </w:p>
    <w:p w:rsidR="00AA1F8F" w:rsidRPr="00AA1F8F" w:rsidRDefault="00AA1F8F" w:rsidP="00AA1F8F">
      <w:pPr>
        <w:pBdr>
          <w:top w:val="single" w:sz="4" w:space="1" w:color="auto"/>
          <w:left w:val="single" w:sz="4" w:space="4" w:color="auto"/>
          <w:bottom w:val="single" w:sz="4" w:space="1" w:color="auto"/>
          <w:right w:val="single" w:sz="4" w:space="4" w:color="auto"/>
        </w:pBdr>
        <w:spacing w:line="360" w:lineRule="auto"/>
        <w:jc w:val="both"/>
        <w:rPr>
          <w:rFonts w:ascii="Garamond" w:hAnsi="Garamond"/>
          <w:sz w:val="24"/>
          <w:szCs w:val="24"/>
          <w:lang w:val="pt-PT"/>
        </w:rPr>
      </w:pPr>
      <w:r w:rsidRPr="00AA1F8F">
        <w:rPr>
          <w:rFonts w:ascii="Garamond" w:hAnsi="Garamond"/>
          <w:sz w:val="24"/>
          <w:szCs w:val="24"/>
          <w:lang w:val="pt-PT"/>
        </w:rPr>
        <w:t xml:space="preserve">Não é verdade. Só por má-fé se pode considerar “termos genéricos” </w:t>
      </w:r>
      <w:proofErr w:type="gramStart"/>
      <w:r w:rsidRPr="00AA1F8F">
        <w:rPr>
          <w:rFonts w:ascii="Garamond" w:hAnsi="Garamond"/>
          <w:sz w:val="24"/>
          <w:szCs w:val="24"/>
          <w:lang w:val="pt-PT"/>
        </w:rPr>
        <w:t>a  avaliação</w:t>
      </w:r>
      <w:proofErr w:type="gramEnd"/>
      <w:r w:rsidRPr="00AA1F8F">
        <w:rPr>
          <w:rFonts w:ascii="Garamond" w:hAnsi="Garamond"/>
          <w:sz w:val="24"/>
          <w:szCs w:val="24"/>
          <w:lang w:val="pt-PT"/>
        </w:rPr>
        <w:t xml:space="preserve"> de todos os regimes de contrapartidas, inclusive com quadros comparativos e citações, que é realizada ao longo de 73 páginas do relatório.</w:t>
      </w:r>
    </w:p>
    <w:p w:rsidR="00AA1F8F" w:rsidRPr="00AA1F8F" w:rsidRDefault="00AA1F8F" w:rsidP="00AA1F8F">
      <w:pPr>
        <w:pStyle w:val="Default"/>
        <w:spacing w:line="360" w:lineRule="auto"/>
        <w:jc w:val="both"/>
        <w:rPr>
          <w:rFonts w:ascii="Garamond" w:hAnsi="Garamond"/>
        </w:rPr>
      </w:pPr>
    </w:p>
    <w:p w:rsidR="00AA1F8F" w:rsidRPr="00AA1F8F" w:rsidRDefault="00AA1F8F" w:rsidP="00AA1F8F">
      <w:pPr>
        <w:pStyle w:val="Default"/>
        <w:spacing w:line="360" w:lineRule="auto"/>
        <w:jc w:val="both"/>
        <w:rPr>
          <w:rFonts w:ascii="Garamond" w:hAnsi="Garamond"/>
          <w:sz w:val="26"/>
          <w:szCs w:val="26"/>
        </w:rPr>
      </w:pPr>
      <w:r w:rsidRPr="00AA1F8F">
        <w:rPr>
          <w:rFonts w:ascii="Garamond" w:hAnsi="Garamond"/>
          <w:b/>
          <w:bCs/>
          <w:sz w:val="26"/>
          <w:szCs w:val="26"/>
        </w:rPr>
        <w:t xml:space="preserve">3- UM RELATÓRIO QUE OMITE FACTOS PÚBLICOS E NOTÓRIOS </w:t>
      </w:r>
    </w:p>
    <w:p w:rsidR="00AA1F8F" w:rsidRPr="00AA1F8F" w:rsidRDefault="00AA1F8F" w:rsidP="00AA1F8F">
      <w:pPr>
        <w:spacing w:line="360" w:lineRule="auto"/>
        <w:jc w:val="both"/>
        <w:rPr>
          <w:rFonts w:ascii="Garamond" w:hAnsi="Garamond"/>
          <w:sz w:val="26"/>
          <w:szCs w:val="26"/>
          <w:lang w:val="pt-PT"/>
        </w:rPr>
      </w:pPr>
    </w:p>
    <w:p w:rsidR="00AA1F8F" w:rsidRPr="00AA1F8F" w:rsidRDefault="00AA1F8F" w:rsidP="00AA1F8F">
      <w:pPr>
        <w:spacing w:line="360" w:lineRule="auto"/>
        <w:jc w:val="both"/>
        <w:rPr>
          <w:rFonts w:ascii="Garamond" w:hAnsi="Garamond"/>
          <w:sz w:val="26"/>
          <w:szCs w:val="26"/>
          <w:lang w:val="pt-PT"/>
        </w:rPr>
      </w:pPr>
      <w:r w:rsidRPr="00AA1F8F">
        <w:rPr>
          <w:rFonts w:ascii="Garamond" w:hAnsi="Garamond"/>
          <w:sz w:val="26"/>
          <w:szCs w:val="26"/>
          <w:lang w:val="pt-PT"/>
        </w:rPr>
        <w:t xml:space="preserve">O </w:t>
      </w:r>
      <w:proofErr w:type="spellStart"/>
      <w:r w:rsidRPr="00AA1F8F">
        <w:rPr>
          <w:rFonts w:ascii="Garamond" w:hAnsi="Garamond"/>
          <w:sz w:val="26"/>
          <w:szCs w:val="26"/>
          <w:lang w:val="pt-PT"/>
        </w:rPr>
        <w:t>projecto</w:t>
      </w:r>
      <w:proofErr w:type="spellEnd"/>
      <w:r w:rsidRPr="00AA1F8F">
        <w:rPr>
          <w:rFonts w:ascii="Garamond" w:hAnsi="Garamond"/>
          <w:sz w:val="26"/>
          <w:szCs w:val="26"/>
          <w:lang w:val="pt-PT"/>
        </w:rPr>
        <w:t xml:space="preserve"> de Relatório historia os processos de aquisição de equipamento militar, listando datas e diplomas, mas omite deliberadamente </w:t>
      </w:r>
      <w:proofErr w:type="spellStart"/>
      <w:r w:rsidRPr="00AA1F8F">
        <w:rPr>
          <w:rFonts w:ascii="Garamond" w:hAnsi="Garamond"/>
          <w:sz w:val="26"/>
          <w:szCs w:val="26"/>
          <w:lang w:val="pt-PT"/>
        </w:rPr>
        <w:t>aspectos</w:t>
      </w:r>
      <w:proofErr w:type="spellEnd"/>
      <w:r w:rsidRPr="00AA1F8F">
        <w:rPr>
          <w:rFonts w:ascii="Garamond" w:hAnsi="Garamond"/>
          <w:sz w:val="26"/>
          <w:szCs w:val="26"/>
          <w:lang w:val="pt-PT"/>
        </w:rPr>
        <w:t xml:space="preserve"> essenciais dos processos de decisão e revelações que o caso Espírito Santo tem propiciado.</w:t>
      </w:r>
    </w:p>
    <w:p w:rsidR="00AA1F8F" w:rsidRPr="00AA1F8F" w:rsidRDefault="00AA1F8F" w:rsidP="00AA1F8F">
      <w:pPr>
        <w:pBdr>
          <w:top w:val="single" w:sz="4" w:space="1" w:color="auto"/>
          <w:left w:val="single" w:sz="4" w:space="4" w:color="auto"/>
          <w:bottom w:val="single" w:sz="4" w:space="1" w:color="auto"/>
          <w:right w:val="single" w:sz="4" w:space="4" w:color="auto"/>
        </w:pBdr>
        <w:spacing w:line="360" w:lineRule="auto"/>
        <w:jc w:val="both"/>
        <w:rPr>
          <w:rFonts w:ascii="Garamond" w:hAnsi="Garamond"/>
          <w:sz w:val="24"/>
          <w:szCs w:val="24"/>
          <w:lang w:val="pt-PT"/>
        </w:rPr>
      </w:pPr>
      <w:r w:rsidRPr="00AA1F8F">
        <w:rPr>
          <w:rFonts w:ascii="Garamond" w:hAnsi="Garamond"/>
          <w:sz w:val="24"/>
          <w:szCs w:val="24"/>
          <w:lang w:val="pt-PT"/>
        </w:rPr>
        <w:t xml:space="preserve">Falso. As revelações conhecidas, incluindo os fluxos financeiros da ESCOM UK, via a </w:t>
      </w:r>
      <w:proofErr w:type="spellStart"/>
      <w:r w:rsidRPr="00AA1F8F">
        <w:rPr>
          <w:rFonts w:ascii="Garamond" w:hAnsi="Garamond"/>
          <w:sz w:val="24"/>
          <w:szCs w:val="24"/>
          <w:lang w:val="pt-PT"/>
        </w:rPr>
        <w:t>off-shore</w:t>
      </w:r>
      <w:proofErr w:type="spellEnd"/>
      <w:r w:rsidRPr="00AA1F8F">
        <w:rPr>
          <w:rFonts w:ascii="Garamond" w:hAnsi="Garamond"/>
          <w:sz w:val="24"/>
          <w:szCs w:val="24"/>
          <w:lang w:val="pt-PT"/>
        </w:rPr>
        <w:t xml:space="preserve"> </w:t>
      </w:r>
      <w:proofErr w:type="spellStart"/>
      <w:r w:rsidRPr="00AA1F8F">
        <w:rPr>
          <w:rFonts w:ascii="Garamond" w:hAnsi="Garamond"/>
          <w:sz w:val="24"/>
          <w:szCs w:val="24"/>
          <w:lang w:val="pt-PT"/>
        </w:rPr>
        <w:t>Afroexport</w:t>
      </w:r>
      <w:proofErr w:type="spellEnd"/>
      <w:r w:rsidRPr="00AA1F8F">
        <w:rPr>
          <w:rFonts w:ascii="Garamond" w:hAnsi="Garamond"/>
          <w:sz w:val="24"/>
          <w:szCs w:val="24"/>
          <w:lang w:val="pt-PT"/>
        </w:rPr>
        <w:t>, as contas na Suíça pertencentes a membros do Conselho Superior do BES e as respostas de depoentes, estão presentes no relatório.</w:t>
      </w:r>
    </w:p>
    <w:p w:rsidR="00AA1F8F" w:rsidRPr="00AA1F8F" w:rsidRDefault="00AA1F8F" w:rsidP="00AA1F8F">
      <w:pPr>
        <w:pStyle w:val="Default"/>
        <w:spacing w:line="360" w:lineRule="auto"/>
        <w:jc w:val="both"/>
        <w:rPr>
          <w:rFonts w:ascii="Garamond" w:hAnsi="Garamond"/>
          <w:sz w:val="26"/>
          <w:szCs w:val="26"/>
        </w:rPr>
      </w:pPr>
    </w:p>
    <w:p w:rsidR="00AA1F8F" w:rsidRPr="00AA1F8F" w:rsidRDefault="00AA1F8F" w:rsidP="00AA1F8F">
      <w:pPr>
        <w:pStyle w:val="Default"/>
        <w:spacing w:line="360" w:lineRule="auto"/>
        <w:jc w:val="both"/>
        <w:rPr>
          <w:rFonts w:ascii="Garamond" w:hAnsi="Garamond"/>
          <w:sz w:val="26"/>
          <w:szCs w:val="26"/>
        </w:rPr>
      </w:pPr>
      <w:r w:rsidRPr="00AA1F8F">
        <w:rPr>
          <w:rFonts w:ascii="Garamond" w:hAnsi="Garamond"/>
          <w:b/>
          <w:bCs/>
          <w:sz w:val="26"/>
          <w:szCs w:val="26"/>
        </w:rPr>
        <w:t xml:space="preserve">4- UM RELATÓRIO VICIADO PELA VONTADE DE ABAFAR O DEBATE ESTRATÉGICO SOBRE A COMPRA DE SUBMARINOS </w:t>
      </w:r>
    </w:p>
    <w:p w:rsidR="00AA1F8F" w:rsidRPr="00AA1F8F" w:rsidRDefault="00AA1F8F" w:rsidP="00AA1F8F">
      <w:pPr>
        <w:spacing w:line="360" w:lineRule="auto"/>
        <w:jc w:val="both"/>
        <w:rPr>
          <w:rFonts w:ascii="Garamond" w:hAnsi="Garamond"/>
          <w:sz w:val="26"/>
          <w:szCs w:val="26"/>
          <w:lang w:val="pt-PT"/>
        </w:rPr>
      </w:pPr>
      <w:r w:rsidRPr="00AA1F8F">
        <w:rPr>
          <w:rFonts w:ascii="Garamond" w:hAnsi="Garamond"/>
          <w:sz w:val="26"/>
          <w:szCs w:val="26"/>
          <w:lang w:val="pt-PT"/>
        </w:rPr>
        <w:t xml:space="preserve">Não é sequer descrita a evolução da discussão institucional sobre o tema, como se a opção tomada tivesse sido isenta de polémica interna e internacional, </w:t>
      </w:r>
      <w:proofErr w:type="spellStart"/>
      <w:r w:rsidRPr="00AA1F8F">
        <w:rPr>
          <w:rFonts w:ascii="Garamond" w:hAnsi="Garamond"/>
          <w:sz w:val="26"/>
          <w:szCs w:val="26"/>
          <w:lang w:val="pt-PT"/>
        </w:rPr>
        <w:t>reflectida</w:t>
      </w:r>
      <w:proofErr w:type="spellEnd"/>
      <w:r w:rsidRPr="00AA1F8F">
        <w:rPr>
          <w:rFonts w:ascii="Garamond" w:hAnsi="Garamond"/>
          <w:sz w:val="26"/>
          <w:szCs w:val="26"/>
          <w:lang w:val="pt-PT"/>
        </w:rPr>
        <w:t>, aliás, nos trabalhos da Comissão.</w:t>
      </w:r>
    </w:p>
    <w:p w:rsidR="00AA1F8F" w:rsidRPr="00AA1F8F" w:rsidRDefault="00AA1F8F" w:rsidP="00AA1F8F">
      <w:pPr>
        <w:pBdr>
          <w:top w:val="single" w:sz="4" w:space="1" w:color="auto"/>
          <w:left w:val="single" w:sz="4" w:space="4" w:color="auto"/>
          <w:bottom w:val="single" w:sz="4" w:space="1" w:color="auto"/>
          <w:right w:val="single" w:sz="4" w:space="4" w:color="auto"/>
        </w:pBdr>
        <w:spacing w:line="360" w:lineRule="auto"/>
        <w:jc w:val="both"/>
        <w:rPr>
          <w:rFonts w:ascii="Garamond" w:hAnsi="Garamond"/>
          <w:sz w:val="28"/>
          <w:szCs w:val="28"/>
          <w:lang w:val="pt-PT"/>
        </w:rPr>
      </w:pPr>
      <w:r w:rsidRPr="00AA1F8F">
        <w:rPr>
          <w:rFonts w:ascii="Garamond" w:hAnsi="Garamond"/>
          <w:sz w:val="24"/>
          <w:szCs w:val="24"/>
          <w:lang w:val="pt-PT"/>
        </w:rPr>
        <w:t xml:space="preserve">Mais uma falsidade gritante: são amplamente relatadas as evoluções quanto à discussão da manutenção e aquisição da capacidade submarina. Tanto em documentos como nos depoimentos do Chefe do </w:t>
      </w:r>
      <w:proofErr w:type="gramStart"/>
      <w:r w:rsidRPr="00AA1F8F">
        <w:rPr>
          <w:rFonts w:ascii="Garamond" w:hAnsi="Garamond"/>
          <w:sz w:val="24"/>
          <w:szCs w:val="24"/>
          <w:lang w:val="pt-PT"/>
        </w:rPr>
        <w:t>Estado Maior</w:t>
      </w:r>
      <w:proofErr w:type="gramEnd"/>
      <w:r w:rsidRPr="00AA1F8F">
        <w:rPr>
          <w:rFonts w:ascii="Garamond" w:hAnsi="Garamond"/>
          <w:sz w:val="24"/>
          <w:szCs w:val="24"/>
          <w:lang w:val="pt-PT"/>
        </w:rPr>
        <w:t xml:space="preserve"> da Armada, de todos os ex-ministros da Defesa Nacional, assim como a evolução e a discussão das Leis de Programação Militar que previam a compra de submarinos</w:t>
      </w:r>
      <w:r w:rsidRPr="00AA1F8F">
        <w:rPr>
          <w:rFonts w:ascii="Garamond" w:hAnsi="Garamond"/>
          <w:sz w:val="28"/>
          <w:szCs w:val="28"/>
          <w:lang w:val="pt-PT"/>
        </w:rPr>
        <w:t xml:space="preserve">. </w:t>
      </w:r>
    </w:p>
    <w:p w:rsidR="00AA1F8F" w:rsidRPr="00AA1F8F" w:rsidRDefault="00AA1F8F" w:rsidP="00AA1F8F">
      <w:pPr>
        <w:pStyle w:val="Default"/>
        <w:spacing w:line="360" w:lineRule="auto"/>
        <w:jc w:val="both"/>
        <w:rPr>
          <w:rFonts w:ascii="Garamond" w:hAnsi="Garamond"/>
        </w:rPr>
      </w:pPr>
    </w:p>
    <w:p w:rsidR="00AA1F8F" w:rsidRPr="00AA1F8F" w:rsidRDefault="00AA1F8F" w:rsidP="00AA1F8F">
      <w:pPr>
        <w:pStyle w:val="Default"/>
        <w:spacing w:line="360" w:lineRule="auto"/>
        <w:jc w:val="both"/>
        <w:rPr>
          <w:rFonts w:ascii="Garamond" w:hAnsi="Garamond"/>
          <w:sz w:val="26"/>
          <w:szCs w:val="26"/>
        </w:rPr>
      </w:pPr>
      <w:r w:rsidRPr="00AA1F8F">
        <w:rPr>
          <w:rFonts w:ascii="Garamond" w:hAnsi="Garamond"/>
          <w:b/>
          <w:bCs/>
          <w:sz w:val="26"/>
          <w:szCs w:val="26"/>
        </w:rPr>
        <w:t xml:space="preserve">5- UM RELATÓRIO VICIADO PELA DESVALORIZAÇÃO DA HISTÓRIA PARLAMENTAR </w:t>
      </w:r>
    </w:p>
    <w:p w:rsidR="00AA1F8F" w:rsidRPr="00AA1F8F" w:rsidRDefault="00AA1F8F" w:rsidP="00AA1F8F">
      <w:pPr>
        <w:spacing w:line="360" w:lineRule="auto"/>
        <w:jc w:val="both"/>
        <w:rPr>
          <w:rFonts w:ascii="Garamond" w:hAnsi="Garamond"/>
          <w:sz w:val="26"/>
          <w:szCs w:val="26"/>
          <w:lang w:val="pt-PT"/>
        </w:rPr>
      </w:pPr>
      <w:r w:rsidRPr="00AA1F8F">
        <w:rPr>
          <w:rFonts w:ascii="Garamond" w:hAnsi="Garamond"/>
          <w:sz w:val="26"/>
          <w:szCs w:val="26"/>
          <w:lang w:val="pt-PT"/>
        </w:rPr>
        <w:t xml:space="preserve">O relatório da Comissão Parlamentar de Inquérito deveria ter reconstituído o processo de deliberação, que teve, de resto, múltiplas e importantes expressões no </w:t>
      </w:r>
      <w:r w:rsidRPr="00AA1F8F">
        <w:rPr>
          <w:rFonts w:ascii="Garamond" w:hAnsi="Garamond"/>
          <w:sz w:val="26"/>
          <w:szCs w:val="26"/>
          <w:lang w:val="pt-PT"/>
        </w:rPr>
        <w:lastRenderedPageBreak/>
        <w:t>debate político na Assembleia da República, hoje facilmente acessível através do Arquivo Digital dos Debates Parlamentares (</w:t>
      </w:r>
      <w:hyperlink r:id="rId8" w:history="1">
        <w:r w:rsidRPr="00AA1F8F">
          <w:rPr>
            <w:rStyle w:val="Hiperligao"/>
            <w:rFonts w:ascii="Garamond" w:hAnsi="Garamond"/>
            <w:sz w:val="26"/>
            <w:szCs w:val="26"/>
            <w:lang w:val="pt-PT"/>
          </w:rPr>
          <w:t>http://debates.parlamento.pt</w:t>
        </w:r>
      </w:hyperlink>
      <w:r w:rsidRPr="00AA1F8F">
        <w:rPr>
          <w:rFonts w:ascii="Garamond" w:hAnsi="Garamond"/>
          <w:sz w:val="26"/>
          <w:szCs w:val="26"/>
          <w:lang w:val="pt-PT"/>
        </w:rPr>
        <w:t>):</w:t>
      </w:r>
    </w:p>
    <w:p w:rsidR="00AA1F8F" w:rsidRPr="00AA1F8F" w:rsidRDefault="00AA1F8F" w:rsidP="00AA1F8F">
      <w:pPr>
        <w:spacing w:line="360" w:lineRule="auto"/>
        <w:jc w:val="both"/>
        <w:rPr>
          <w:rFonts w:ascii="Garamond" w:hAnsi="Garamond"/>
          <w:sz w:val="26"/>
          <w:szCs w:val="26"/>
          <w:lang w:val="pt-PT"/>
        </w:rPr>
      </w:pPr>
      <w:r w:rsidRPr="00AA1F8F">
        <w:rPr>
          <w:rFonts w:ascii="Garamond" w:hAnsi="Garamond"/>
          <w:sz w:val="26"/>
          <w:szCs w:val="26"/>
          <w:lang w:val="pt-PT"/>
        </w:rPr>
        <w:t xml:space="preserve">As </w:t>
      </w:r>
      <w:proofErr w:type="spellStart"/>
      <w:r w:rsidRPr="00AA1F8F">
        <w:rPr>
          <w:rFonts w:ascii="Garamond" w:hAnsi="Garamond"/>
          <w:sz w:val="26"/>
          <w:szCs w:val="26"/>
          <w:lang w:val="pt-PT"/>
        </w:rPr>
        <w:t>actas</w:t>
      </w:r>
      <w:proofErr w:type="spellEnd"/>
      <w:r w:rsidRPr="00AA1F8F">
        <w:rPr>
          <w:rFonts w:ascii="Garamond" w:hAnsi="Garamond"/>
          <w:sz w:val="26"/>
          <w:szCs w:val="26"/>
          <w:lang w:val="pt-PT"/>
        </w:rPr>
        <w:t xml:space="preserve"> do debate parlamentar dão conta das diferenças de opinião dos partidos representados na AR e das iniciativas que, num quadro de pluralismo político, deram expressão a essas diferenças.</w:t>
      </w:r>
    </w:p>
    <w:p w:rsidR="00AA1F8F" w:rsidRPr="00AA1F8F" w:rsidRDefault="00AA1F8F" w:rsidP="00AA1F8F">
      <w:pPr>
        <w:pBdr>
          <w:top w:val="single" w:sz="4" w:space="1" w:color="auto"/>
          <w:left w:val="single" w:sz="4" w:space="4" w:color="auto"/>
          <w:bottom w:val="single" w:sz="4" w:space="1" w:color="auto"/>
          <w:right w:val="single" w:sz="4" w:space="4" w:color="auto"/>
        </w:pBdr>
        <w:spacing w:line="360" w:lineRule="auto"/>
        <w:jc w:val="both"/>
        <w:rPr>
          <w:rFonts w:ascii="Garamond" w:hAnsi="Garamond"/>
          <w:sz w:val="24"/>
          <w:szCs w:val="24"/>
          <w:lang w:val="pt-PT"/>
        </w:rPr>
      </w:pPr>
      <w:r w:rsidRPr="00AA1F8F">
        <w:rPr>
          <w:rFonts w:ascii="Garamond" w:hAnsi="Garamond"/>
          <w:sz w:val="24"/>
          <w:szCs w:val="24"/>
          <w:lang w:val="pt-PT"/>
        </w:rPr>
        <w:t xml:space="preserve">Falso. Não só os debates parlamentares são referidos no relatório, por exemplo pelo </w:t>
      </w:r>
      <w:proofErr w:type="spellStart"/>
      <w:r w:rsidRPr="00AA1F8F">
        <w:rPr>
          <w:rFonts w:ascii="Garamond" w:hAnsi="Garamond"/>
          <w:sz w:val="24"/>
          <w:szCs w:val="24"/>
          <w:lang w:val="pt-PT"/>
        </w:rPr>
        <w:t>ex</w:t>
      </w:r>
      <w:proofErr w:type="spellEnd"/>
      <w:r w:rsidRPr="00AA1F8F">
        <w:rPr>
          <w:rFonts w:ascii="Garamond" w:hAnsi="Garamond"/>
          <w:sz w:val="24"/>
          <w:szCs w:val="24"/>
          <w:lang w:val="pt-PT"/>
        </w:rPr>
        <w:t xml:space="preserve"> ministro Castro Caldas, como sobre as “diferenças de opinião dos partidos representados na AR e das iniciativas que, num quadro de pluralismo político, deram expressão a essas diferenças” até se encontra citado no relatório o próprio Deputado José Magalhães. Apenas por excesso de modéstia própria pode agora o mesmo deputado se olvidar das referências parlamentares. </w:t>
      </w:r>
    </w:p>
    <w:p w:rsidR="00AA1F8F" w:rsidRPr="00AA1F8F" w:rsidRDefault="00AA1F8F" w:rsidP="00AA1F8F">
      <w:pPr>
        <w:spacing w:line="360" w:lineRule="auto"/>
        <w:jc w:val="both"/>
        <w:rPr>
          <w:rFonts w:ascii="Garamond" w:hAnsi="Garamond"/>
          <w:sz w:val="26"/>
          <w:szCs w:val="26"/>
          <w:lang w:val="pt-PT"/>
        </w:rPr>
      </w:pPr>
      <w:r w:rsidRPr="00AA1F8F">
        <w:rPr>
          <w:rFonts w:ascii="Garamond" w:hAnsi="Garamond"/>
          <w:sz w:val="26"/>
          <w:szCs w:val="26"/>
          <w:lang w:val="pt-PT"/>
        </w:rPr>
        <w:t xml:space="preserve">A omissão dessas componentes do complexo percurso histórico dos processos de aquisição despoja o </w:t>
      </w:r>
      <w:proofErr w:type="spellStart"/>
      <w:r w:rsidRPr="00AA1F8F">
        <w:rPr>
          <w:rFonts w:ascii="Garamond" w:hAnsi="Garamond"/>
          <w:sz w:val="26"/>
          <w:szCs w:val="26"/>
          <w:lang w:val="pt-PT"/>
        </w:rPr>
        <w:t>projecto</w:t>
      </w:r>
      <w:proofErr w:type="spellEnd"/>
      <w:r w:rsidRPr="00AA1F8F">
        <w:rPr>
          <w:rFonts w:ascii="Garamond" w:hAnsi="Garamond"/>
          <w:sz w:val="26"/>
          <w:szCs w:val="26"/>
          <w:lang w:val="pt-PT"/>
        </w:rPr>
        <w:t xml:space="preserve"> de relatório da dimensão de rigor histórico que o deveria caracterizar.</w:t>
      </w:r>
    </w:p>
    <w:p w:rsidR="00AA1F8F" w:rsidRPr="00AA1F8F" w:rsidRDefault="00AA1F8F" w:rsidP="00AA1F8F">
      <w:pPr>
        <w:pBdr>
          <w:top w:val="single" w:sz="4" w:space="1" w:color="auto"/>
          <w:left w:val="single" w:sz="4" w:space="4" w:color="auto"/>
          <w:bottom w:val="single" w:sz="4" w:space="1" w:color="auto"/>
          <w:right w:val="single" w:sz="4" w:space="4" w:color="auto"/>
        </w:pBdr>
        <w:spacing w:line="360" w:lineRule="auto"/>
        <w:jc w:val="both"/>
        <w:rPr>
          <w:rFonts w:ascii="Garamond" w:hAnsi="Garamond"/>
          <w:sz w:val="24"/>
          <w:szCs w:val="24"/>
          <w:lang w:val="pt-PT"/>
        </w:rPr>
      </w:pPr>
      <w:r w:rsidRPr="00AA1F8F">
        <w:rPr>
          <w:rFonts w:ascii="Garamond" w:hAnsi="Garamond"/>
          <w:sz w:val="24"/>
          <w:szCs w:val="24"/>
          <w:lang w:val="pt-PT"/>
        </w:rPr>
        <w:t>Aliás, é o PS quem desvaloriza a “história parlamentar” e a “dimensão de rigor histórico” ao desvalorizar o Relatório do Grupo de Trabalho sobre Contrapartidas da Comissão de Assuntos Económicos, Inovação e Desenvolvimento Regional, em 2006, que, segundo o ex-deputado Ventura Leite, o seu grupo parlamentar do PS impediu de ser enviado para o Tribunal de Contas.</w:t>
      </w:r>
    </w:p>
    <w:p w:rsidR="00AA1F8F" w:rsidRPr="00AA1F8F" w:rsidRDefault="00AA1F8F" w:rsidP="00AA1F8F">
      <w:pPr>
        <w:pStyle w:val="Default"/>
        <w:spacing w:line="360" w:lineRule="auto"/>
        <w:jc w:val="both"/>
        <w:rPr>
          <w:rFonts w:ascii="Garamond" w:hAnsi="Garamond"/>
          <w:sz w:val="26"/>
          <w:szCs w:val="26"/>
        </w:rPr>
      </w:pPr>
    </w:p>
    <w:p w:rsidR="00AA1F8F" w:rsidRPr="00AA1F8F" w:rsidRDefault="00AA1F8F" w:rsidP="00AA1F8F">
      <w:pPr>
        <w:pStyle w:val="Default"/>
        <w:spacing w:line="360" w:lineRule="auto"/>
        <w:jc w:val="both"/>
        <w:rPr>
          <w:rFonts w:ascii="Garamond" w:hAnsi="Garamond"/>
          <w:sz w:val="26"/>
          <w:szCs w:val="26"/>
        </w:rPr>
      </w:pPr>
      <w:r w:rsidRPr="00AA1F8F">
        <w:rPr>
          <w:rFonts w:ascii="Garamond" w:hAnsi="Garamond"/>
          <w:b/>
          <w:bCs/>
          <w:sz w:val="26"/>
          <w:szCs w:val="26"/>
        </w:rPr>
        <w:t xml:space="preserve">6- UM RELATÓRIO VICIADO PELA SELECÇÃO TENDENCIOSA DE DEPOIMENTOS OBTIDOS </w:t>
      </w:r>
    </w:p>
    <w:p w:rsidR="00AA1F8F" w:rsidRPr="00AA1F8F" w:rsidRDefault="00AA1F8F" w:rsidP="00AA1F8F">
      <w:pPr>
        <w:pStyle w:val="Default"/>
        <w:spacing w:line="360" w:lineRule="auto"/>
        <w:jc w:val="both"/>
        <w:rPr>
          <w:rFonts w:ascii="Garamond" w:hAnsi="Garamond"/>
          <w:sz w:val="26"/>
          <w:szCs w:val="26"/>
        </w:rPr>
      </w:pPr>
      <w:r w:rsidRPr="00AA1F8F">
        <w:rPr>
          <w:rFonts w:ascii="Garamond" w:hAnsi="Garamond"/>
          <w:sz w:val="26"/>
          <w:szCs w:val="26"/>
        </w:rPr>
        <w:t xml:space="preserve">O </w:t>
      </w:r>
      <w:proofErr w:type="spellStart"/>
      <w:r w:rsidRPr="00AA1F8F">
        <w:rPr>
          <w:rFonts w:ascii="Garamond" w:hAnsi="Garamond"/>
          <w:sz w:val="26"/>
          <w:szCs w:val="26"/>
        </w:rPr>
        <w:t>projecto</w:t>
      </w:r>
      <w:proofErr w:type="spellEnd"/>
      <w:r w:rsidRPr="00AA1F8F">
        <w:rPr>
          <w:rFonts w:ascii="Garamond" w:hAnsi="Garamond"/>
          <w:sz w:val="26"/>
          <w:szCs w:val="26"/>
        </w:rPr>
        <w:t xml:space="preserve"> de Relatório estabelece uma confusão deliberada entre “factos” e “depoimento sobre factos”</w:t>
      </w:r>
      <w:proofErr w:type="gramStart"/>
      <w:r w:rsidRPr="00AA1F8F">
        <w:rPr>
          <w:rFonts w:ascii="Garamond" w:hAnsi="Garamond"/>
          <w:sz w:val="26"/>
          <w:szCs w:val="26"/>
        </w:rPr>
        <w:t>(</w:t>
      </w:r>
      <w:proofErr w:type="gramEnd"/>
      <w:r w:rsidRPr="00AA1F8F">
        <w:rPr>
          <w:rFonts w:ascii="Garamond" w:hAnsi="Garamond"/>
          <w:sz w:val="26"/>
          <w:szCs w:val="26"/>
        </w:rPr>
        <w:t xml:space="preserve"> a versão que de cada facto é dada por testemunhas, muitas vezes de forma contraditória). </w:t>
      </w:r>
    </w:p>
    <w:p w:rsidR="00AA1F8F" w:rsidRPr="00AA1F8F" w:rsidRDefault="00AA1F8F" w:rsidP="00AA1F8F">
      <w:pPr>
        <w:spacing w:line="360" w:lineRule="auto"/>
        <w:jc w:val="both"/>
        <w:rPr>
          <w:rFonts w:ascii="Garamond" w:hAnsi="Garamond"/>
          <w:sz w:val="26"/>
          <w:szCs w:val="26"/>
          <w:lang w:val="pt-PT"/>
        </w:rPr>
      </w:pPr>
      <w:proofErr w:type="spellStart"/>
      <w:r w:rsidRPr="00AA1F8F">
        <w:rPr>
          <w:rFonts w:ascii="Garamond" w:hAnsi="Garamond"/>
          <w:sz w:val="26"/>
          <w:szCs w:val="26"/>
          <w:lang w:val="pt-PT"/>
        </w:rPr>
        <w:lastRenderedPageBreak/>
        <w:t>Sistematicamente,a</w:t>
      </w:r>
      <w:proofErr w:type="spellEnd"/>
      <w:r w:rsidRPr="00AA1F8F">
        <w:rPr>
          <w:rFonts w:ascii="Garamond" w:hAnsi="Garamond"/>
          <w:sz w:val="26"/>
          <w:szCs w:val="26"/>
          <w:lang w:val="pt-PT"/>
        </w:rPr>
        <w:t xml:space="preserve"> versão de certas testemunhas é dada como prova bastante de factos, mesmo que haja documentos que provam coisa diferente.</w:t>
      </w:r>
    </w:p>
    <w:p w:rsidR="00AA1F8F" w:rsidRPr="00AA1F8F" w:rsidRDefault="00AA1F8F" w:rsidP="00AA1F8F">
      <w:pPr>
        <w:pBdr>
          <w:top w:val="single" w:sz="4" w:space="1" w:color="auto"/>
          <w:left w:val="single" w:sz="4" w:space="4" w:color="auto"/>
          <w:bottom w:val="single" w:sz="4" w:space="1" w:color="auto"/>
          <w:right w:val="single" w:sz="4" w:space="4" w:color="auto"/>
        </w:pBdr>
        <w:spacing w:line="360" w:lineRule="auto"/>
        <w:jc w:val="both"/>
        <w:rPr>
          <w:rFonts w:ascii="Garamond" w:hAnsi="Garamond"/>
          <w:sz w:val="24"/>
          <w:szCs w:val="24"/>
          <w:lang w:val="pt-PT"/>
        </w:rPr>
      </w:pPr>
      <w:r w:rsidRPr="00AA1F8F">
        <w:rPr>
          <w:rFonts w:ascii="Garamond" w:hAnsi="Garamond"/>
          <w:sz w:val="24"/>
          <w:szCs w:val="24"/>
          <w:lang w:val="pt-PT"/>
        </w:rPr>
        <w:t xml:space="preserve">Os depoimentos e os documentos são apresentados como informação recolhida pela Comissão. Sempre que há contradição são apresentadas as várias versões. Aliás, apontada uma lacuna nesta metodologia – como o depoimento do General </w:t>
      </w:r>
      <w:proofErr w:type="spellStart"/>
      <w:r w:rsidRPr="00AA1F8F">
        <w:rPr>
          <w:rFonts w:ascii="Garamond" w:hAnsi="Garamond"/>
          <w:sz w:val="24"/>
          <w:szCs w:val="24"/>
          <w:lang w:val="pt-PT"/>
        </w:rPr>
        <w:t>Chambel</w:t>
      </w:r>
      <w:proofErr w:type="spellEnd"/>
      <w:r w:rsidRPr="00AA1F8F">
        <w:rPr>
          <w:rFonts w:ascii="Garamond" w:hAnsi="Garamond"/>
          <w:sz w:val="24"/>
          <w:szCs w:val="24"/>
          <w:lang w:val="pt-PT"/>
        </w:rPr>
        <w:t xml:space="preserve"> -, a maioria dispõe-se a corrigir. Infelizmente, dois partidos que não apresentaram sequer propostas de alteração às matérias de facto, deixam aqui insinuações sem um único exemplo.</w:t>
      </w:r>
    </w:p>
    <w:p w:rsidR="00AA1F8F" w:rsidRPr="00AA1F8F" w:rsidRDefault="00AA1F8F" w:rsidP="00AA1F8F">
      <w:pPr>
        <w:pStyle w:val="Default"/>
        <w:spacing w:line="360" w:lineRule="auto"/>
        <w:jc w:val="both"/>
        <w:rPr>
          <w:rFonts w:ascii="Garamond" w:hAnsi="Garamond"/>
          <w:sz w:val="26"/>
          <w:szCs w:val="26"/>
        </w:rPr>
      </w:pPr>
      <w:r w:rsidRPr="00AA1F8F">
        <w:rPr>
          <w:rFonts w:ascii="Garamond" w:hAnsi="Garamond"/>
          <w:b/>
          <w:bCs/>
          <w:sz w:val="26"/>
          <w:szCs w:val="26"/>
        </w:rPr>
        <w:t xml:space="preserve">7- UM RELATÓRIO VICIADO PELAS TENTATIVAS DE ENCOBRIMENTO </w:t>
      </w:r>
    </w:p>
    <w:p w:rsidR="00AA1F8F" w:rsidRPr="00AA1F8F" w:rsidRDefault="00AA1F8F" w:rsidP="00AA1F8F">
      <w:pPr>
        <w:pStyle w:val="Default"/>
        <w:spacing w:line="360" w:lineRule="auto"/>
        <w:jc w:val="both"/>
        <w:rPr>
          <w:rFonts w:ascii="Garamond" w:hAnsi="Garamond"/>
          <w:sz w:val="26"/>
          <w:szCs w:val="26"/>
        </w:rPr>
      </w:pPr>
      <w:r w:rsidRPr="00AA1F8F">
        <w:rPr>
          <w:rFonts w:ascii="Garamond" w:hAnsi="Garamond"/>
          <w:b/>
          <w:bCs/>
          <w:sz w:val="26"/>
          <w:szCs w:val="26"/>
        </w:rPr>
        <w:t xml:space="preserve">7.1 - ENCOBRIMENTO DO PAPEL DA ESCOM </w:t>
      </w:r>
    </w:p>
    <w:p w:rsidR="00AA1F8F" w:rsidRPr="00AA1F8F" w:rsidRDefault="00AA1F8F" w:rsidP="00AA1F8F">
      <w:pPr>
        <w:spacing w:line="360" w:lineRule="auto"/>
        <w:jc w:val="both"/>
        <w:rPr>
          <w:rFonts w:ascii="Garamond" w:hAnsi="Garamond"/>
          <w:sz w:val="26"/>
          <w:szCs w:val="26"/>
          <w:lang w:val="pt-PT"/>
        </w:rPr>
      </w:pPr>
      <w:r w:rsidRPr="00AA1F8F">
        <w:rPr>
          <w:rFonts w:ascii="Garamond" w:hAnsi="Garamond"/>
          <w:sz w:val="26"/>
          <w:szCs w:val="26"/>
          <w:lang w:val="pt-PT"/>
        </w:rPr>
        <w:t xml:space="preserve">O </w:t>
      </w:r>
      <w:proofErr w:type="spellStart"/>
      <w:r w:rsidRPr="00AA1F8F">
        <w:rPr>
          <w:rFonts w:ascii="Garamond" w:hAnsi="Garamond"/>
          <w:sz w:val="26"/>
          <w:szCs w:val="26"/>
          <w:lang w:val="pt-PT"/>
        </w:rPr>
        <w:t>projecto</w:t>
      </w:r>
      <w:proofErr w:type="spellEnd"/>
      <w:r w:rsidRPr="00AA1F8F">
        <w:rPr>
          <w:rFonts w:ascii="Garamond" w:hAnsi="Garamond"/>
          <w:sz w:val="26"/>
          <w:szCs w:val="26"/>
          <w:lang w:val="pt-PT"/>
        </w:rPr>
        <w:t xml:space="preserve"> de Relatório propõe que a AR faça sua a resposta dada pelo arguido do processo dos submarinos Luís Horta e Costa que não só não omitiu qualquer informação sobre rasto do dinheiro como gracejou com a incerteza resultante da ocultação do montante em causa. A frase do depoente é expressamente citada e assumida como verdade oficial sobre o facto, cujos contornos são amplamente conhecidos desde há semanas:</w:t>
      </w:r>
    </w:p>
    <w:p w:rsidR="00AA1F8F" w:rsidRPr="00AA1F8F" w:rsidRDefault="00AA1F8F" w:rsidP="00AA1F8F">
      <w:pPr>
        <w:spacing w:line="360" w:lineRule="auto"/>
        <w:jc w:val="both"/>
        <w:rPr>
          <w:rFonts w:ascii="Garamond" w:hAnsi="Garamond"/>
          <w:sz w:val="26"/>
          <w:szCs w:val="26"/>
          <w:lang w:val="pt-PT"/>
        </w:rPr>
      </w:pPr>
      <w:r w:rsidRPr="00AA1F8F">
        <w:rPr>
          <w:rFonts w:ascii="Garamond" w:hAnsi="Garamond"/>
          <w:sz w:val="26"/>
          <w:szCs w:val="26"/>
          <w:lang w:val="pt-PT"/>
        </w:rPr>
        <w:t>“Em relação aos valores que ganhamos na participação nos negócios, como lhe disse, hoje em dia aquilo é uma tômbola: há quem diga 30, há quem diga 20, há quem diga 15”.</w:t>
      </w:r>
    </w:p>
    <w:p w:rsidR="00AA1F8F" w:rsidRPr="00AA1F8F" w:rsidRDefault="00AA1F8F" w:rsidP="00AA1F8F">
      <w:pPr>
        <w:pBdr>
          <w:top w:val="single" w:sz="4" w:space="1" w:color="auto"/>
          <w:left w:val="single" w:sz="4" w:space="4" w:color="auto"/>
          <w:bottom w:val="single" w:sz="4" w:space="1" w:color="auto"/>
          <w:right w:val="single" w:sz="4" w:space="4" w:color="auto"/>
        </w:pBdr>
        <w:spacing w:line="360" w:lineRule="auto"/>
        <w:jc w:val="both"/>
        <w:rPr>
          <w:rFonts w:ascii="Garamond" w:hAnsi="Garamond"/>
          <w:sz w:val="24"/>
          <w:szCs w:val="24"/>
          <w:lang w:val="pt-PT"/>
        </w:rPr>
      </w:pPr>
      <w:r w:rsidRPr="00AA1F8F">
        <w:rPr>
          <w:rFonts w:ascii="Garamond" w:hAnsi="Garamond"/>
          <w:sz w:val="24"/>
          <w:szCs w:val="24"/>
          <w:lang w:val="pt-PT"/>
        </w:rPr>
        <w:t xml:space="preserve">O Relatório apresenta apenas a resposta dada à pergunta realizada. </w:t>
      </w:r>
    </w:p>
    <w:p w:rsidR="00AA1F8F" w:rsidRPr="00AA1F8F" w:rsidRDefault="00AA1F8F" w:rsidP="00AA1F8F">
      <w:pPr>
        <w:pBdr>
          <w:top w:val="single" w:sz="4" w:space="1" w:color="auto"/>
          <w:left w:val="single" w:sz="4" w:space="4" w:color="auto"/>
          <w:bottom w:val="single" w:sz="4" w:space="1" w:color="auto"/>
          <w:right w:val="single" w:sz="4" w:space="4" w:color="auto"/>
        </w:pBdr>
        <w:spacing w:line="360" w:lineRule="auto"/>
        <w:jc w:val="both"/>
        <w:rPr>
          <w:rFonts w:ascii="Garamond" w:hAnsi="Garamond"/>
          <w:sz w:val="24"/>
          <w:szCs w:val="24"/>
          <w:lang w:val="pt-PT"/>
        </w:rPr>
      </w:pPr>
      <w:r w:rsidRPr="00AA1F8F">
        <w:rPr>
          <w:rFonts w:ascii="Garamond" w:hAnsi="Garamond"/>
          <w:sz w:val="24"/>
          <w:szCs w:val="24"/>
          <w:lang w:val="pt-PT"/>
        </w:rPr>
        <w:t>Mas a frase do depoente continua e entende-se o desconforto em fazer a citação completa: “não me pronunciar enquanto não for totalmente esclarecida essa questão pelo Ministério Público”. A omissão da conclusão da frase é grave por omite a limitação de inquirir enquanto decorre uma investigação do Ministério, que se conhece desde o início desta Comissão.</w:t>
      </w:r>
    </w:p>
    <w:p w:rsidR="00AA1F8F" w:rsidRPr="00AA1F8F" w:rsidRDefault="00AA1F8F" w:rsidP="00AA1F8F">
      <w:pPr>
        <w:pStyle w:val="Default"/>
        <w:spacing w:line="360" w:lineRule="auto"/>
        <w:jc w:val="both"/>
        <w:rPr>
          <w:rFonts w:ascii="Garamond" w:hAnsi="Garamond"/>
        </w:rPr>
      </w:pPr>
      <w:r w:rsidRPr="00AA1F8F">
        <w:rPr>
          <w:rFonts w:ascii="Garamond" w:hAnsi="Garamond"/>
          <w:sz w:val="28"/>
          <w:szCs w:val="28"/>
        </w:rPr>
        <w:lastRenderedPageBreak/>
        <w:t xml:space="preserve"> </w:t>
      </w:r>
    </w:p>
    <w:p w:rsidR="00AA1F8F" w:rsidRPr="00AA1F8F" w:rsidRDefault="00AA1F8F" w:rsidP="00AA1F8F">
      <w:pPr>
        <w:pStyle w:val="Default"/>
        <w:spacing w:line="360" w:lineRule="auto"/>
        <w:jc w:val="both"/>
        <w:rPr>
          <w:rFonts w:ascii="Garamond" w:hAnsi="Garamond"/>
          <w:sz w:val="26"/>
          <w:szCs w:val="26"/>
        </w:rPr>
      </w:pPr>
      <w:r w:rsidRPr="00AA1F8F">
        <w:rPr>
          <w:rFonts w:ascii="Garamond" w:hAnsi="Garamond"/>
          <w:b/>
          <w:bCs/>
          <w:sz w:val="26"/>
          <w:szCs w:val="26"/>
        </w:rPr>
        <w:t xml:space="preserve">7.2 - ENCOBRIMENTO DE UM PROCEDIMENTO ANÓMALO NO “LEILÃO BANCÁRIO” REFERENTE AO FINANCIAMENTO DA AQUISIÇÃO DE SUBMARINOS. </w:t>
      </w:r>
    </w:p>
    <w:p w:rsidR="00AA1F8F" w:rsidRPr="00AA1F8F" w:rsidRDefault="00AA1F8F" w:rsidP="00AA1F8F">
      <w:pPr>
        <w:pStyle w:val="Default"/>
        <w:spacing w:line="360" w:lineRule="auto"/>
        <w:jc w:val="both"/>
        <w:rPr>
          <w:rFonts w:ascii="Garamond" w:hAnsi="Garamond"/>
          <w:sz w:val="26"/>
          <w:szCs w:val="26"/>
        </w:rPr>
      </w:pPr>
      <w:r w:rsidRPr="00AA1F8F">
        <w:rPr>
          <w:rFonts w:ascii="Garamond" w:hAnsi="Garamond"/>
          <w:sz w:val="26"/>
          <w:szCs w:val="26"/>
        </w:rPr>
        <w:t xml:space="preserve">O facto de nenhuma diligência ter permitido reconstituir integralmente o procedimento, não sendo localizadas as propostas iniciais e outras peças essenciais, torna a </w:t>
      </w:r>
      <w:proofErr w:type="spellStart"/>
      <w:r w:rsidRPr="00AA1F8F">
        <w:rPr>
          <w:rFonts w:ascii="Garamond" w:hAnsi="Garamond"/>
          <w:sz w:val="26"/>
          <w:szCs w:val="26"/>
        </w:rPr>
        <w:t>redacção</w:t>
      </w:r>
      <w:proofErr w:type="spellEnd"/>
      <w:r w:rsidRPr="00AA1F8F">
        <w:rPr>
          <w:rFonts w:ascii="Garamond" w:hAnsi="Garamond"/>
          <w:sz w:val="26"/>
          <w:szCs w:val="26"/>
        </w:rPr>
        <w:t xml:space="preserve"> do </w:t>
      </w:r>
      <w:proofErr w:type="spellStart"/>
      <w:r w:rsidRPr="00AA1F8F">
        <w:rPr>
          <w:rFonts w:ascii="Garamond" w:hAnsi="Garamond"/>
          <w:sz w:val="26"/>
          <w:szCs w:val="26"/>
        </w:rPr>
        <w:t>projecto</w:t>
      </w:r>
      <w:proofErr w:type="spellEnd"/>
      <w:r w:rsidRPr="00AA1F8F">
        <w:rPr>
          <w:rFonts w:ascii="Garamond" w:hAnsi="Garamond"/>
          <w:sz w:val="26"/>
          <w:szCs w:val="26"/>
        </w:rPr>
        <w:t xml:space="preserve"> de Relatório especialmente censurável, </w:t>
      </w:r>
      <w:proofErr w:type="gramStart"/>
      <w:r w:rsidRPr="00AA1F8F">
        <w:rPr>
          <w:rFonts w:ascii="Garamond" w:hAnsi="Garamond"/>
          <w:sz w:val="26"/>
          <w:szCs w:val="26"/>
        </w:rPr>
        <w:t>porquanto</w:t>
      </w:r>
      <w:proofErr w:type="gramEnd"/>
      <w:r w:rsidRPr="00AA1F8F">
        <w:rPr>
          <w:rFonts w:ascii="Garamond" w:hAnsi="Garamond"/>
          <w:sz w:val="26"/>
          <w:szCs w:val="26"/>
        </w:rPr>
        <w:t xml:space="preserve">: </w:t>
      </w:r>
    </w:p>
    <w:p w:rsidR="00AA1F8F" w:rsidRPr="00AA1F8F" w:rsidRDefault="00AA1F8F" w:rsidP="00AA1F8F">
      <w:pPr>
        <w:pStyle w:val="Default"/>
        <w:spacing w:line="360" w:lineRule="auto"/>
        <w:jc w:val="both"/>
        <w:rPr>
          <w:rFonts w:ascii="Garamond" w:hAnsi="Garamond"/>
          <w:sz w:val="28"/>
          <w:szCs w:val="28"/>
        </w:rPr>
      </w:pPr>
    </w:p>
    <w:p w:rsidR="00AA1F8F" w:rsidRPr="00AA1F8F" w:rsidRDefault="00AA1F8F" w:rsidP="00AA1F8F">
      <w:pPr>
        <w:pStyle w:val="Default"/>
        <w:pBdr>
          <w:top w:val="single" w:sz="4" w:space="1" w:color="auto"/>
          <w:left w:val="single" w:sz="4" w:space="4" w:color="auto"/>
          <w:bottom w:val="single" w:sz="4" w:space="1" w:color="auto"/>
          <w:right w:val="single" w:sz="4" w:space="4" w:color="auto"/>
        </w:pBdr>
        <w:spacing w:line="360" w:lineRule="auto"/>
        <w:jc w:val="both"/>
        <w:rPr>
          <w:rFonts w:ascii="Garamond" w:hAnsi="Garamond" w:cs="Calibri"/>
        </w:rPr>
      </w:pPr>
      <w:r w:rsidRPr="00AA1F8F">
        <w:rPr>
          <w:rFonts w:ascii="Garamond" w:hAnsi="Garamond" w:cs="Calibri"/>
        </w:rPr>
        <w:t xml:space="preserve">É verdade que não foram encontradas todas as propostas iniciais, apesar da carta-convite enviada ter sido fornecida pelo </w:t>
      </w:r>
      <w:proofErr w:type="spellStart"/>
      <w:r w:rsidRPr="00AA1F8F">
        <w:rPr>
          <w:rFonts w:ascii="Garamond" w:hAnsi="Garamond" w:cs="Calibri"/>
        </w:rPr>
        <w:t>Deutsche</w:t>
      </w:r>
      <w:proofErr w:type="spellEnd"/>
      <w:r w:rsidRPr="00AA1F8F">
        <w:rPr>
          <w:rFonts w:ascii="Garamond" w:hAnsi="Garamond" w:cs="Calibri"/>
        </w:rPr>
        <w:t xml:space="preserve"> </w:t>
      </w:r>
      <w:proofErr w:type="spellStart"/>
      <w:r w:rsidRPr="00AA1F8F">
        <w:rPr>
          <w:rFonts w:ascii="Garamond" w:hAnsi="Garamond" w:cs="Calibri"/>
        </w:rPr>
        <w:t>Bank</w:t>
      </w:r>
      <w:proofErr w:type="spellEnd"/>
      <w:r w:rsidRPr="00AA1F8F">
        <w:rPr>
          <w:rFonts w:ascii="Garamond" w:hAnsi="Garamond" w:cs="Calibri"/>
        </w:rPr>
        <w:t xml:space="preserve">, e da </w:t>
      </w:r>
      <w:proofErr w:type="spellStart"/>
      <w:r w:rsidRPr="00AA1F8F">
        <w:rPr>
          <w:rFonts w:ascii="Garamond" w:hAnsi="Garamond" w:cs="Calibri"/>
        </w:rPr>
        <w:t>análidas</w:t>
      </w:r>
      <w:proofErr w:type="spellEnd"/>
      <w:r w:rsidRPr="00AA1F8F">
        <w:rPr>
          <w:rFonts w:ascii="Garamond" w:hAnsi="Garamond" w:cs="Calibri"/>
        </w:rPr>
        <w:t xml:space="preserve"> propostas enviadas, amplamente relatadas, constar do acervo da Comissão. O Relatório não pode ser censurado por dizer, com transparência, o que não foi localizado.</w:t>
      </w:r>
      <w:r w:rsidR="00F0090B">
        <w:rPr>
          <w:rFonts w:ascii="Garamond" w:hAnsi="Garamond" w:cs="Calibri"/>
        </w:rPr>
        <w:t xml:space="preserve"> No entanto, para que fique claro, estes elementos – que agora não foram encontrados – são referidos numa lista de 2006, da SG do MDN – ou seja, foram extraviados depois do XV Governo, da maioria PSD-CDS. </w:t>
      </w:r>
    </w:p>
    <w:p w:rsidR="00AA1F8F" w:rsidRPr="00AA1F8F" w:rsidRDefault="00AA1F8F" w:rsidP="00AA1F8F">
      <w:pPr>
        <w:pStyle w:val="Default"/>
        <w:spacing w:line="360" w:lineRule="auto"/>
        <w:jc w:val="both"/>
        <w:rPr>
          <w:rFonts w:ascii="Garamond" w:hAnsi="Garamond"/>
          <w:sz w:val="26"/>
          <w:szCs w:val="26"/>
        </w:rPr>
      </w:pPr>
    </w:p>
    <w:p w:rsidR="00AA1F8F" w:rsidRPr="00AA1F8F" w:rsidRDefault="00AA1F8F" w:rsidP="00AA1F8F">
      <w:pPr>
        <w:pStyle w:val="Default"/>
        <w:spacing w:line="360" w:lineRule="auto"/>
        <w:jc w:val="both"/>
        <w:rPr>
          <w:rFonts w:ascii="Garamond" w:hAnsi="Garamond"/>
          <w:sz w:val="26"/>
          <w:szCs w:val="26"/>
        </w:rPr>
      </w:pPr>
      <w:r w:rsidRPr="00AA1F8F">
        <w:rPr>
          <w:rFonts w:ascii="Garamond" w:hAnsi="Garamond"/>
          <w:sz w:val="26"/>
          <w:szCs w:val="26"/>
        </w:rPr>
        <w:t>Há indícios de que o consórcio de que fazia parte o BES não apresentou proposta inicial assente na ideia de um “</w:t>
      </w:r>
      <w:proofErr w:type="spellStart"/>
      <w:proofErr w:type="gramStart"/>
      <w:r w:rsidRPr="00AA1F8F">
        <w:rPr>
          <w:rFonts w:ascii="Garamond" w:hAnsi="Garamond"/>
          <w:sz w:val="26"/>
          <w:szCs w:val="26"/>
        </w:rPr>
        <w:t>swap</w:t>
      </w:r>
      <w:proofErr w:type="spellEnd"/>
      <w:proofErr w:type="gramEnd"/>
      <w:r w:rsidRPr="00AA1F8F">
        <w:rPr>
          <w:rFonts w:ascii="Garamond" w:hAnsi="Garamond"/>
          <w:sz w:val="26"/>
          <w:szCs w:val="26"/>
        </w:rPr>
        <w:t xml:space="preserve"> sintético”; </w:t>
      </w:r>
    </w:p>
    <w:p w:rsidR="00AA1F8F" w:rsidRPr="00AA1F8F" w:rsidRDefault="00AA1F8F" w:rsidP="00AA1F8F">
      <w:pPr>
        <w:pStyle w:val="Default"/>
        <w:spacing w:line="360" w:lineRule="auto"/>
        <w:jc w:val="both"/>
        <w:rPr>
          <w:rFonts w:ascii="Garamond" w:hAnsi="Garamond"/>
          <w:sz w:val="26"/>
          <w:szCs w:val="26"/>
        </w:rPr>
      </w:pPr>
      <w:r w:rsidRPr="00AA1F8F">
        <w:rPr>
          <w:rFonts w:ascii="Garamond" w:hAnsi="Garamond"/>
          <w:sz w:val="26"/>
          <w:szCs w:val="26"/>
        </w:rPr>
        <w:t xml:space="preserve">- A matriz sobre como realizar essa solução de engenharia financeira foi comunicada ao consórcio a partir do Estado; </w:t>
      </w:r>
    </w:p>
    <w:p w:rsidR="00AA1F8F" w:rsidRPr="00AA1F8F" w:rsidRDefault="00AA1F8F" w:rsidP="00AA1F8F">
      <w:pPr>
        <w:pStyle w:val="Default"/>
        <w:spacing w:line="360" w:lineRule="auto"/>
        <w:jc w:val="both"/>
        <w:rPr>
          <w:rFonts w:ascii="Garamond" w:hAnsi="Garamond"/>
          <w:sz w:val="28"/>
          <w:szCs w:val="28"/>
        </w:rPr>
      </w:pPr>
    </w:p>
    <w:p w:rsidR="00AA1F8F" w:rsidRPr="00AA1F8F" w:rsidRDefault="00AA1F8F" w:rsidP="00AA1F8F">
      <w:pPr>
        <w:pStyle w:val="Default"/>
        <w:pBdr>
          <w:top w:val="single" w:sz="4" w:space="1" w:color="auto"/>
          <w:left w:val="single" w:sz="4" w:space="4" w:color="auto"/>
          <w:bottom w:val="single" w:sz="4" w:space="1" w:color="auto"/>
          <w:right w:val="single" w:sz="4" w:space="4" w:color="auto"/>
        </w:pBdr>
        <w:spacing w:line="360" w:lineRule="auto"/>
        <w:jc w:val="both"/>
        <w:rPr>
          <w:rFonts w:ascii="Garamond" w:hAnsi="Garamond" w:cs="Calibri"/>
        </w:rPr>
      </w:pPr>
      <w:r w:rsidRPr="00AA1F8F">
        <w:rPr>
          <w:rFonts w:ascii="Garamond" w:hAnsi="Garamond" w:cs="Calibri"/>
        </w:rPr>
        <w:t xml:space="preserve">A proposta inicial respondia a vários pressupostos de elegibilidade orçamental e comunitária. A solução foi apresentada a ambos os consórcios selecionados, e não apenas ao </w:t>
      </w:r>
      <w:proofErr w:type="spellStart"/>
      <w:r w:rsidR="00F0090B">
        <w:rPr>
          <w:rFonts w:ascii="Garamond" w:hAnsi="Garamond" w:cs="Calibri"/>
        </w:rPr>
        <w:t>CreditSuisse</w:t>
      </w:r>
      <w:proofErr w:type="spellEnd"/>
      <w:r w:rsidR="00F0090B">
        <w:rPr>
          <w:rFonts w:ascii="Garamond" w:hAnsi="Garamond" w:cs="Calibri"/>
        </w:rPr>
        <w:t>/</w:t>
      </w:r>
      <w:r w:rsidRPr="00AA1F8F">
        <w:rPr>
          <w:rFonts w:ascii="Garamond" w:hAnsi="Garamond" w:cs="Calibri"/>
        </w:rPr>
        <w:t>BES</w:t>
      </w:r>
      <w:r w:rsidR="00DE22F5">
        <w:rPr>
          <w:rFonts w:ascii="Garamond" w:hAnsi="Garamond" w:cs="Calibri"/>
        </w:rPr>
        <w:t>I</w:t>
      </w:r>
      <w:r w:rsidRPr="00AA1F8F">
        <w:rPr>
          <w:rFonts w:ascii="Garamond" w:hAnsi="Garamond" w:cs="Calibri"/>
        </w:rPr>
        <w:t>.</w:t>
      </w:r>
    </w:p>
    <w:p w:rsidR="00AA1F8F" w:rsidRPr="00AA1F8F" w:rsidRDefault="00AA1F8F" w:rsidP="00AA1F8F">
      <w:pPr>
        <w:pStyle w:val="Default"/>
        <w:spacing w:line="360" w:lineRule="auto"/>
        <w:jc w:val="both"/>
        <w:rPr>
          <w:rFonts w:ascii="Garamond" w:hAnsi="Garamond"/>
          <w:sz w:val="28"/>
          <w:szCs w:val="28"/>
        </w:rPr>
      </w:pPr>
    </w:p>
    <w:p w:rsidR="00AA1F8F" w:rsidRPr="00AA1F8F" w:rsidRDefault="00AA1F8F" w:rsidP="00AA1F8F">
      <w:pPr>
        <w:pStyle w:val="Default"/>
        <w:spacing w:line="360" w:lineRule="auto"/>
        <w:jc w:val="both"/>
        <w:rPr>
          <w:rFonts w:ascii="Garamond" w:hAnsi="Garamond"/>
          <w:sz w:val="26"/>
          <w:szCs w:val="26"/>
        </w:rPr>
      </w:pPr>
      <w:r w:rsidRPr="00AA1F8F">
        <w:rPr>
          <w:rFonts w:ascii="Garamond" w:hAnsi="Garamond"/>
          <w:sz w:val="26"/>
          <w:szCs w:val="26"/>
        </w:rPr>
        <w:t xml:space="preserve">- O MDN obteve a informação sobre a forma de realizar </w:t>
      </w:r>
      <w:proofErr w:type="spellStart"/>
      <w:r w:rsidRPr="00AA1F8F">
        <w:rPr>
          <w:rFonts w:ascii="Garamond" w:hAnsi="Garamond"/>
          <w:sz w:val="26"/>
          <w:szCs w:val="26"/>
        </w:rPr>
        <w:t>swap</w:t>
      </w:r>
      <w:proofErr w:type="spellEnd"/>
      <w:r w:rsidRPr="00AA1F8F">
        <w:rPr>
          <w:rFonts w:ascii="Garamond" w:hAnsi="Garamond"/>
          <w:sz w:val="26"/>
          <w:szCs w:val="26"/>
        </w:rPr>
        <w:t xml:space="preserve"> sintético através do Estado grego </w:t>
      </w:r>
      <w:proofErr w:type="gramStart"/>
      <w:r w:rsidRPr="00AA1F8F">
        <w:rPr>
          <w:rFonts w:ascii="Garamond" w:hAnsi="Garamond"/>
          <w:sz w:val="26"/>
          <w:szCs w:val="26"/>
        </w:rPr>
        <w:t>( a</w:t>
      </w:r>
      <w:proofErr w:type="gramEnd"/>
      <w:r w:rsidRPr="00AA1F8F">
        <w:rPr>
          <w:rFonts w:ascii="Garamond" w:hAnsi="Garamond"/>
          <w:sz w:val="26"/>
          <w:szCs w:val="26"/>
        </w:rPr>
        <w:t xml:space="preserve"> quem o </w:t>
      </w:r>
      <w:proofErr w:type="spellStart"/>
      <w:r w:rsidRPr="00AA1F8F">
        <w:rPr>
          <w:rFonts w:ascii="Garamond" w:hAnsi="Garamond"/>
          <w:sz w:val="26"/>
          <w:szCs w:val="26"/>
        </w:rPr>
        <w:t>Deutsche</w:t>
      </w:r>
      <w:proofErr w:type="spellEnd"/>
      <w:r w:rsidRPr="00AA1F8F">
        <w:rPr>
          <w:rFonts w:ascii="Garamond" w:hAnsi="Garamond"/>
          <w:sz w:val="26"/>
          <w:szCs w:val="26"/>
        </w:rPr>
        <w:t xml:space="preserve"> </w:t>
      </w:r>
      <w:proofErr w:type="spellStart"/>
      <w:r w:rsidRPr="00AA1F8F">
        <w:rPr>
          <w:rFonts w:ascii="Garamond" w:hAnsi="Garamond"/>
          <w:sz w:val="26"/>
          <w:szCs w:val="26"/>
        </w:rPr>
        <w:t>Bank</w:t>
      </w:r>
      <w:proofErr w:type="spellEnd"/>
      <w:r w:rsidRPr="00AA1F8F">
        <w:rPr>
          <w:rFonts w:ascii="Garamond" w:hAnsi="Garamond"/>
          <w:sz w:val="26"/>
          <w:szCs w:val="26"/>
        </w:rPr>
        <w:t xml:space="preserve"> vendeu essa solução proprietária) e partilhou-a com o consórcio; </w:t>
      </w:r>
    </w:p>
    <w:p w:rsidR="00AA1F8F" w:rsidRPr="00AA1F8F" w:rsidRDefault="00AA1F8F" w:rsidP="00AA1F8F">
      <w:pPr>
        <w:pStyle w:val="Default"/>
        <w:spacing w:line="360" w:lineRule="auto"/>
        <w:jc w:val="both"/>
        <w:rPr>
          <w:rFonts w:ascii="Garamond" w:hAnsi="Garamond"/>
          <w:sz w:val="28"/>
          <w:szCs w:val="28"/>
        </w:rPr>
      </w:pPr>
    </w:p>
    <w:p w:rsidR="00AA1F8F" w:rsidRPr="00AA1F8F" w:rsidRDefault="00AA1F8F" w:rsidP="00AA1F8F">
      <w:pPr>
        <w:pStyle w:val="Default"/>
        <w:pBdr>
          <w:top w:val="single" w:sz="4" w:space="1" w:color="auto"/>
          <w:left w:val="single" w:sz="4" w:space="4" w:color="auto"/>
          <w:bottom w:val="single" w:sz="4" w:space="1" w:color="auto"/>
          <w:right w:val="single" w:sz="4" w:space="4" w:color="auto"/>
        </w:pBdr>
        <w:spacing w:line="360" w:lineRule="auto"/>
        <w:jc w:val="both"/>
        <w:rPr>
          <w:rFonts w:ascii="Garamond" w:hAnsi="Garamond" w:cs="Calibri"/>
        </w:rPr>
      </w:pPr>
      <w:r w:rsidRPr="00AA1F8F">
        <w:rPr>
          <w:rFonts w:ascii="Garamond" w:hAnsi="Garamond" w:cs="Calibri"/>
        </w:rPr>
        <w:lastRenderedPageBreak/>
        <w:t>A solução que foi tacitamente aceite pelo Eurostat, foi partilhada – a Portugal e à República Francesa – pelo Estado grego. E foi apresentada como preferível a ambos os concorrentes ao mesmo tempo, como se descreve no Relatório.</w:t>
      </w:r>
    </w:p>
    <w:p w:rsidR="00AA1F8F" w:rsidRPr="00AA1F8F" w:rsidRDefault="00AA1F8F" w:rsidP="00AA1F8F">
      <w:pPr>
        <w:pStyle w:val="Default"/>
        <w:spacing w:line="360" w:lineRule="auto"/>
        <w:jc w:val="both"/>
        <w:rPr>
          <w:rFonts w:ascii="Garamond" w:hAnsi="Garamond"/>
          <w:sz w:val="28"/>
          <w:szCs w:val="28"/>
        </w:rPr>
      </w:pPr>
    </w:p>
    <w:p w:rsidR="00AA1F8F" w:rsidRPr="00AA1F8F" w:rsidRDefault="00AA1F8F" w:rsidP="00AA1F8F">
      <w:pPr>
        <w:spacing w:line="360" w:lineRule="auto"/>
        <w:jc w:val="both"/>
        <w:rPr>
          <w:rFonts w:ascii="Garamond" w:hAnsi="Garamond"/>
          <w:sz w:val="26"/>
          <w:szCs w:val="26"/>
          <w:lang w:val="pt-PT"/>
        </w:rPr>
      </w:pPr>
      <w:r w:rsidRPr="00AA1F8F">
        <w:rPr>
          <w:rFonts w:ascii="Garamond" w:hAnsi="Garamond"/>
          <w:sz w:val="26"/>
          <w:szCs w:val="26"/>
          <w:lang w:val="pt-PT"/>
        </w:rPr>
        <w:t xml:space="preserve">- O </w:t>
      </w:r>
      <w:proofErr w:type="spellStart"/>
      <w:r w:rsidRPr="00AA1F8F">
        <w:rPr>
          <w:rFonts w:ascii="Garamond" w:hAnsi="Garamond"/>
          <w:sz w:val="26"/>
          <w:szCs w:val="26"/>
          <w:lang w:val="pt-PT"/>
        </w:rPr>
        <w:t>ex-sg</w:t>
      </w:r>
      <w:proofErr w:type="spellEnd"/>
      <w:r w:rsidRPr="00AA1F8F">
        <w:rPr>
          <w:rFonts w:ascii="Garamond" w:hAnsi="Garamond"/>
          <w:sz w:val="26"/>
          <w:szCs w:val="26"/>
          <w:lang w:val="pt-PT"/>
        </w:rPr>
        <w:t xml:space="preserve"> do MDN referiu que o Estado português “poupou” assim 5 milhões (outro tanto tendo “poupado”, por essa forma ínvia, o consórcio beneficiado); </w:t>
      </w:r>
    </w:p>
    <w:p w:rsidR="00AA1F8F" w:rsidRPr="00AA1F8F" w:rsidRDefault="00AA1F8F" w:rsidP="00AA1F8F">
      <w:pPr>
        <w:pBdr>
          <w:top w:val="single" w:sz="4" w:space="1" w:color="auto"/>
          <w:left w:val="single" w:sz="4" w:space="4" w:color="auto"/>
          <w:bottom w:val="single" w:sz="4" w:space="1" w:color="auto"/>
          <w:right w:val="single" w:sz="4" w:space="4" w:color="auto"/>
        </w:pBdr>
        <w:spacing w:line="360" w:lineRule="auto"/>
        <w:jc w:val="both"/>
        <w:rPr>
          <w:rFonts w:ascii="Garamond" w:hAnsi="Garamond" w:cs="Calibri"/>
          <w:sz w:val="24"/>
          <w:szCs w:val="24"/>
          <w:lang w:val="pt-PT"/>
        </w:rPr>
      </w:pPr>
      <w:r w:rsidRPr="00AA1F8F">
        <w:rPr>
          <w:rFonts w:ascii="Garamond" w:hAnsi="Garamond" w:cs="Calibri"/>
          <w:sz w:val="24"/>
          <w:szCs w:val="24"/>
          <w:lang w:val="pt-PT"/>
        </w:rPr>
        <w:t xml:space="preserve">Esta afirmação não faz qualquer sentido. A proposta do </w:t>
      </w:r>
      <w:proofErr w:type="spellStart"/>
      <w:r w:rsidRPr="00AA1F8F">
        <w:rPr>
          <w:rFonts w:ascii="Garamond" w:hAnsi="Garamond" w:cs="Calibri"/>
          <w:sz w:val="24"/>
          <w:szCs w:val="24"/>
          <w:lang w:val="pt-PT"/>
        </w:rPr>
        <w:t>Deutsche</w:t>
      </w:r>
      <w:proofErr w:type="spellEnd"/>
      <w:r w:rsidRPr="00AA1F8F">
        <w:rPr>
          <w:rFonts w:ascii="Garamond" w:hAnsi="Garamond" w:cs="Calibri"/>
          <w:sz w:val="24"/>
          <w:szCs w:val="24"/>
          <w:lang w:val="pt-PT"/>
        </w:rPr>
        <w:t xml:space="preserve"> </w:t>
      </w:r>
      <w:proofErr w:type="spellStart"/>
      <w:r w:rsidRPr="00AA1F8F">
        <w:rPr>
          <w:rFonts w:ascii="Garamond" w:hAnsi="Garamond" w:cs="Calibri"/>
          <w:sz w:val="24"/>
          <w:szCs w:val="24"/>
          <w:lang w:val="pt-PT"/>
        </w:rPr>
        <w:t>Bank</w:t>
      </w:r>
      <w:proofErr w:type="spellEnd"/>
      <w:r w:rsidRPr="00AA1F8F">
        <w:rPr>
          <w:rFonts w:ascii="Garamond" w:hAnsi="Garamond" w:cs="Calibri"/>
          <w:sz w:val="24"/>
          <w:szCs w:val="24"/>
          <w:lang w:val="pt-PT"/>
        </w:rPr>
        <w:t xml:space="preserve"> incluía custos de consultoria financeira que assim foram desnecessários. Até se poderia dizer que ao diminuir o valor desta proposta se tornaria o DB mais competitivo, ao contrário do que aqui ilogicamente se afirma, mas o que conta é que esses custos (de qualquer das propostas) foram poupados ao erário público.</w:t>
      </w:r>
    </w:p>
    <w:p w:rsidR="00AA1F8F" w:rsidRPr="00AA1F8F" w:rsidRDefault="00AA1F8F" w:rsidP="00AA1F8F">
      <w:pPr>
        <w:spacing w:line="360" w:lineRule="auto"/>
        <w:jc w:val="both"/>
        <w:rPr>
          <w:rFonts w:ascii="Garamond" w:hAnsi="Garamond"/>
          <w:sz w:val="26"/>
          <w:szCs w:val="26"/>
          <w:lang w:val="pt-PT"/>
        </w:rPr>
      </w:pPr>
      <w:r w:rsidRPr="00AA1F8F">
        <w:rPr>
          <w:rFonts w:ascii="Garamond" w:hAnsi="Garamond"/>
          <w:sz w:val="26"/>
          <w:szCs w:val="26"/>
          <w:lang w:val="pt-PT"/>
        </w:rPr>
        <w:t xml:space="preserve">- A escolha do vencedor foi feita a partir do </w:t>
      </w:r>
      <w:proofErr w:type="gramStart"/>
      <w:r w:rsidRPr="00AA1F8F">
        <w:rPr>
          <w:rFonts w:ascii="Garamond" w:hAnsi="Garamond"/>
          <w:sz w:val="26"/>
          <w:szCs w:val="26"/>
          <w:lang w:val="pt-PT"/>
        </w:rPr>
        <w:t>spread</w:t>
      </w:r>
      <w:proofErr w:type="gramEnd"/>
      <w:r w:rsidRPr="00AA1F8F">
        <w:rPr>
          <w:rFonts w:ascii="Garamond" w:hAnsi="Garamond"/>
          <w:sz w:val="26"/>
          <w:szCs w:val="26"/>
          <w:lang w:val="pt-PT"/>
        </w:rPr>
        <w:t xml:space="preserve"> afixado na folha de rosto (19.6 </w:t>
      </w:r>
      <w:proofErr w:type="spellStart"/>
      <w:r w:rsidRPr="00AA1F8F">
        <w:rPr>
          <w:rFonts w:ascii="Garamond" w:hAnsi="Garamond"/>
          <w:sz w:val="26"/>
          <w:szCs w:val="26"/>
          <w:lang w:val="pt-PT"/>
        </w:rPr>
        <w:t>bp</w:t>
      </w:r>
      <w:proofErr w:type="spellEnd"/>
      <w:r w:rsidRPr="00AA1F8F">
        <w:rPr>
          <w:rFonts w:ascii="Garamond" w:hAnsi="Garamond"/>
          <w:sz w:val="26"/>
          <w:szCs w:val="26"/>
          <w:lang w:val="pt-PT"/>
        </w:rPr>
        <w:t xml:space="preserve">/26 </w:t>
      </w:r>
      <w:proofErr w:type="spellStart"/>
      <w:r w:rsidRPr="00AA1F8F">
        <w:rPr>
          <w:rFonts w:ascii="Garamond" w:hAnsi="Garamond"/>
          <w:sz w:val="26"/>
          <w:szCs w:val="26"/>
          <w:lang w:val="pt-PT"/>
        </w:rPr>
        <w:t>bp</w:t>
      </w:r>
      <w:proofErr w:type="spellEnd"/>
      <w:r w:rsidRPr="00AA1F8F">
        <w:rPr>
          <w:rFonts w:ascii="Garamond" w:hAnsi="Garamond"/>
          <w:sz w:val="26"/>
          <w:szCs w:val="26"/>
          <w:lang w:val="pt-PT"/>
        </w:rPr>
        <w:t>), tendo sido descoberto ulteriormente que, segundo o critério “</w:t>
      </w:r>
      <w:proofErr w:type="spellStart"/>
      <w:r w:rsidRPr="00AA1F8F">
        <w:rPr>
          <w:rFonts w:ascii="Garamond" w:hAnsi="Garamond"/>
          <w:sz w:val="26"/>
          <w:szCs w:val="26"/>
          <w:lang w:val="pt-PT"/>
        </w:rPr>
        <w:t>all</w:t>
      </w:r>
      <w:proofErr w:type="spellEnd"/>
      <w:r w:rsidRPr="00AA1F8F">
        <w:rPr>
          <w:rFonts w:ascii="Garamond" w:hAnsi="Garamond"/>
          <w:sz w:val="26"/>
          <w:szCs w:val="26"/>
          <w:lang w:val="pt-PT"/>
        </w:rPr>
        <w:t xml:space="preserve">-in” (obrigatório no procedimento), o spread do consórcio de que fazia parte o BES cifrava-se em mais de 28 pontos base contra 26; </w:t>
      </w:r>
    </w:p>
    <w:p w:rsidR="00AA1F8F" w:rsidRPr="00AA1F8F" w:rsidRDefault="00AA1F8F" w:rsidP="00AA1F8F">
      <w:pPr>
        <w:spacing w:line="360" w:lineRule="auto"/>
        <w:jc w:val="both"/>
        <w:rPr>
          <w:rFonts w:ascii="Garamond" w:hAnsi="Garamond"/>
          <w:sz w:val="26"/>
          <w:szCs w:val="26"/>
          <w:lang w:val="pt-PT"/>
        </w:rPr>
      </w:pPr>
      <w:r w:rsidRPr="00AA1F8F">
        <w:rPr>
          <w:rFonts w:ascii="Garamond" w:hAnsi="Garamond"/>
          <w:sz w:val="26"/>
          <w:szCs w:val="26"/>
          <w:lang w:val="pt-PT"/>
        </w:rPr>
        <w:t xml:space="preserve">- Sem corrigir o erro de cálculo e apuramento, o MDN facultou ao consórcio derrotado a possibilidade de diminuir o </w:t>
      </w:r>
      <w:proofErr w:type="gramStart"/>
      <w:r w:rsidRPr="00AA1F8F">
        <w:rPr>
          <w:rFonts w:ascii="Garamond" w:hAnsi="Garamond"/>
          <w:sz w:val="26"/>
          <w:szCs w:val="26"/>
          <w:lang w:val="pt-PT"/>
        </w:rPr>
        <w:t>spread</w:t>
      </w:r>
      <w:proofErr w:type="gramEnd"/>
      <w:r w:rsidRPr="00AA1F8F">
        <w:rPr>
          <w:rFonts w:ascii="Garamond" w:hAnsi="Garamond"/>
          <w:sz w:val="26"/>
          <w:szCs w:val="26"/>
          <w:lang w:val="pt-PT"/>
        </w:rPr>
        <w:t xml:space="preserve"> proposto, sem informar do facto o concorrente </w:t>
      </w:r>
      <w:proofErr w:type="spellStart"/>
      <w:r w:rsidRPr="00AA1F8F">
        <w:rPr>
          <w:rFonts w:ascii="Garamond" w:hAnsi="Garamond"/>
          <w:sz w:val="26"/>
          <w:szCs w:val="26"/>
          <w:lang w:val="pt-PT"/>
        </w:rPr>
        <w:t>afectado</w:t>
      </w:r>
      <w:proofErr w:type="spellEnd"/>
      <w:r w:rsidRPr="00AA1F8F">
        <w:rPr>
          <w:rFonts w:ascii="Garamond" w:hAnsi="Garamond"/>
          <w:sz w:val="26"/>
          <w:szCs w:val="26"/>
          <w:lang w:val="pt-PT"/>
        </w:rPr>
        <w:t xml:space="preserve"> e fechou o procedimento.</w:t>
      </w:r>
    </w:p>
    <w:p w:rsidR="00AA1F8F" w:rsidRPr="00AA1F8F" w:rsidRDefault="00AA1F8F" w:rsidP="00AA1F8F">
      <w:pPr>
        <w:pBdr>
          <w:top w:val="single" w:sz="4" w:space="1" w:color="auto"/>
          <w:left w:val="single" w:sz="4" w:space="4" w:color="auto"/>
          <w:bottom w:val="single" w:sz="4" w:space="1" w:color="auto"/>
          <w:right w:val="single" w:sz="4" w:space="4" w:color="auto"/>
        </w:pBdr>
        <w:spacing w:line="360" w:lineRule="auto"/>
        <w:jc w:val="both"/>
        <w:rPr>
          <w:rFonts w:ascii="Garamond" w:hAnsi="Garamond"/>
          <w:sz w:val="24"/>
          <w:szCs w:val="24"/>
          <w:lang w:val="pt-PT"/>
        </w:rPr>
      </w:pPr>
      <w:r w:rsidRPr="00AA1F8F">
        <w:rPr>
          <w:rFonts w:ascii="Garamond" w:hAnsi="Garamond"/>
          <w:sz w:val="24"/>
          <w:szCs w:val="24"/>
          <w:lang w:val="pt-PT"/>
        </w:rPr>
        <w:t xml:space="preserve">Pelo contrário. Ao identificar a possibilidade de custos não previstos, a SG do MDN impôs que o </w:t>
      </w:r>
      <w:proofErr w:type="gramStart"/>
      <w:r w:rsidRPr="00AA1F8F">
        <w:rPr>
          <w:rFonts w:ascii="Garamond" w:hAnsi="Garamond"/>
          <w:sz w:val="24"/>
          <w:szCs w:val="24"/>
          <w:lang w:val="pt-PT"/>
        </w:rPr>
        <w:t>spread</w:t>
      </w:r>
      <w:proofErr w:type="gramEnd"/>
      <w:r w:rsidRPr="00AA1F8F">
        <w:rPr>
          <w:rFonts w:ascii="Garamond" w:hAnsi="Garamond"/>
          <w:sz w:val="24"/>
          <w:szCs w:val="24"/>
          <w:lang w:val="pt-PT"/>
        </w:rPr>
        <w:t xml:space="preserve"> “</w:t>
      </w:r>
      <w:proofErr w:type="spellStart"/>
      <w:r w:rsidRPr="00AA1F8F">
        <w:rPr>
          <w:rFonts w:ascii="Garamond" w:hAnsi="Garamond"/>
          <w:sz w:val="24"/>
          <w:szCs w:val="24"/>
          <w:lang w:val="pt-PT"/>
        </w:rPr>
        <w:t>all</w:t>
      </w:r>
      <w:proofErr w:type="spellEnd"/>
      <w:r w:rsidRPr="00AA1F8F">
        <w:rPr>
          <w:rFonts w:ascii="Garamond" w:hAnsi="Garamond"/>
          <w:sz w:val="24"/>
          <w:szCs w:val="24"/>
          <w:lang w:val="pt-PT"/>
        </w:rPr>
        <w:t>-in” fosse inferior ao do segundo concorrente, poupando assim 1 ponto base ao Estado.</w:t>
      </w:r>
      <w:r w:rsidR="00DE22F5">
        <w:rPr>
          <w:rFonts w:ascii="Garamond" w:hAnsi="Garamond"/>
          <w:sz w:val="24"/>
          <w:szCs w:val="24"/>
          <w:lang w:val="pt-PT"/>
        </w:rPr>
        <w:t xml:space="preserve"> Ou seja, não foram 28 nem 26, mas sim um </w:t>
      </w:r>
      <w:proofErr w:type="gramStart"/>
      <w:r w:rsidR="00DE22F5">
        <w:rPr>
          <w:rFonts w:ascii="Garamond" w:hAnsi="Garamond"/>
          <w:sz w:val="24"/>
          <w:szCs w:val="24"/>
          <w:lang w:val="pt-PT"/>
        </w:rPr>
        <w:t>spread</w:t>
      </w:r>
      <w:proofErr w:type="gramEnd"/>
      <w:r w:rsidR="00DE22F5">
        <w:rPr>
          <w:rFonts w:ascii="Garamond" w:hAnsi="Garamond"/>
          <w:sz w:val="24"/>
          <w:szCs w:val="24"/>
          <w:lang w:val="pt-PT"/>
        </w:rPr>
        <w:t xml:space="preserve"> de 25 pontos base – muito inferior ao anteriormente contratado para os helicópteros. </w:t>
      </w:r>
    </w:p>
    <w:p w:rsidR="00AA1F8F" w:rsidRPr="00AA1F8F" w:rsidRDefault="00AA1F8F" w:rsidP="00AA1F8F">
      <w:pPr>
        <w:pStyle w:val="Default"/>
        <w:spacing w:line="360" w:lineRule="auto"/>
        <w:jc w:val="both"/>
        <w:rPr>
          <w:rFonts w:ascii="Garamond" w:hAnsi="Garamond"/>
        </w:rPr>
      </w:pPr>
    </w:p>
    <w:p w:rsidR="00AA1F8F" w:rsidRPr="00AA1F8F" w:rsidRDefault="00AA1F8F" w:rsidP="00AA1F8F">
      <w:pPr>
        <w:pStyle w:val="Default"/>
        <w:spacing w:line="360" w:lineRule="auto"/>
        <w:jc w:val="both"/>
        <w:rPr>
          <w:rFonts w:ascii="Garamond" w:hAnsi="Garamond"/>
          <w:sz w:val="26"/>
          <w:szCs w:val="26"/>
        </w:rPr>
      </w:pPr>
      <w:r w:rsidRPr="00AA1F8F">
        <w:rPr>
          <w:rFonts w:ascii="Garamond" w:hAnsi="Garamond"/>
          <w:b/>
          <w:bCs/>
          <w:sz w:val="26"/>
          <w:szCs w:val="26"/>
        </w:rPr>
        <w:t xml:space="preserve">7.3 - ENCOBRIMENTO DO PAPEL DO EX-MINISTRO ÁLVARO SANTOS PEREIRA NO DESFECHO DO JULGAMENTO DO “CASO DAS CONTRAPARTIDAS FALSAS” </w:t>
      </w:r>
    </w:p>
    <w:p w:rsidR="00AA1F8F" w:rsidRPr="00AA1F8F" w:rsidRDefault="00AA1F8F" w:rsidP="00AA1F8F">
      <w:pPr>
        <w:pStyle w:val="Default"/>
        <w:spacing w:line="360" w:lineRule="auto"/>
        <w:jc w:val="both"/>
        <w:rPr>
          <w:rFonts w:ascii="Garamond" w:hAnsi="Garamond"/>
          <w:sz w:val="26"/>
          <w:szCs w:val="26"/>
        </w:rPr>
      </w:pPr>
      <w:r w:rsidRPr="00AA1F8F">
        <w:rPr>
          <w:rFonts w:ascii="Garamond" w:hAnsi="Garamond"/>
          <w:sz w:val="26"/>
          <w:szCs w:val="26"/>
        </w:rPr>
        <w:lastRenderedPageBreak/>
        <w:t xml:space="preserve">Tendo confessado que foi aconselhado a "não mexer no dossiê" por se tratar de um assunto com um grande "passivo </w:t>
      </w:r>
      <w:proofErr w:type="spellStart"/>
      <w:r w:rsidRPr="00AA1F8F">
        <w:rPr>
          <w:rFonts w:ascii="Garamond" w:hAnsi="Garamond"/>
          <w:sz w:val="26"/>
          <w:szCs w:val="26"/>
        </w:rPr>
        <w:t>reputacional</w:t>
      </w:r>
      <w:proofErr w:type="spellEnd"/>
      <w:r w:rsidRPr="00AA1F8F">
        <w:rPr>
          <w:rFonts w:ascii="Garamond" w:hAnsi="Garamond"/>
          <w:sz w:val="26"/>
          <w:szCs w:val="26"/>
        </w:rPr>
        <w:t xml:space="preserve">",a testemunha declarou que pediu parecer antes tomar a decisão de prorrogar por 4 anos o prazo para cumprimento das contrapartidas dos submarinos, alterar as condições de prestação e substituir 18 </w:t>
      </w:r>
      <w:proofErr w:type="spellStart"/>
      <w:r w:rsidRPr="00AA1F8F">
        <w:rPr>
          <w:rFonts w:ascii="Garamond" w:hAnsi="Garamond"/>
          <w:sz w:val="26"/>
          <w:szCs w:val="26"/>
        </w:rPr>
        <w:t>projectos</w:t>
      </w:r>
      <w:proofErr w:type="spellEnd"/>
      <w:r w:rsidRPr="00AA1F8F">
        <w:rPr>
          <w:rFonts w:ascii="Garamond" w:hAnsi="Garamond"/>
          <w:sz w:val="26"/>
          <w:szCs w:val="26"/>
        </w:rPr>
        <w:t xml:space="preserve"> concretos </w:t>
      </w:r>
      <w:proofErr w:type="spellStart"/>
      <w:r w:rsidRPr="00AA1F8F">
        <w:rPr>
          <w:rFonts w:ascii="Garamond" w:hAnsi="Garamond"/>
          <w:sz w:val="26"/>
          <w:szCs w:val="26"/>
        </w:rPr>
        <w:t>contratualizadoe</w:t>
      </w:r>
      <w:proofErr w:type="spellEnd"/>
      <w:r w:rsidRPr="00AA1F8F">
        <w:rPr>
          <w:rFonts w:ascii="Garamond" w:hAnsi="Garamond"/>
          <w:sz w:val="26"/>
          <w:szCs w:val="26"/>
        </w:rPr>
        <w:t xml:space="preserve"> em 2004 por um único </w:t>
      </w:r>
      <w:proofErr w:type="spellStart"/>
      <w:r w:rsidRPr="00AA1F8F">
        <w:rPr>
          <w:rFonts w:ascii="Garamond" w:hAnsi="Garamond"/>
          <w:sz w:val="26"/>
          <w:szCs w:val="26"/>
        </w:rPr>
        <w:t>projecto</w:t>
      </w:r>
      <w:proofErr w:type="spellEnd"/>
      <w:r w:rsidRPr="00AA1F8F">
        <w:rPr>
          <w:rFonts w:ascii="Garamond" w:hAnsi="Garamond"/>
          <w:sz w:val="26"/>
          <w:szCs w:val="26"/>
        </w:rPr>
        <w:t xml:space="preserve"> (ALFAMAR- sem contornos precisos e sujeito a condição de viabilidade). </w:t>
      </w:r>
    </w:p>
    <w:p w:rsidR="00AA1F8F" w:rsidRPr="00AA1F8F" w:rsidRDefault="00AA1F8F" w:rsidP="00AA1F8F">
      <w:pPr>
        <w:spacing w:line="360" w:lineRule="auto"/>
        <w:jc w:val="both"/>
        <w:rPr>
          <w:rFonts w:ascii="Garamond" w:hAnsi="Garamond"/>
          <w:sz w:val="26"/>
          <w:szCs w:val="26"/>
          <w:lang w:val="pt-PT"/>
        </w:rPr>
      </w:pPr>
      <w:r w:rsidRPr="00AA1F8F">
        <w:rPr>
          <w:rFonts w:ascii="Garamond" w:hAnsi="Garamond"/>
          <w:sz w:val="26"/>
          <w:szCs w:val="26"/>
          <w:lang w:val="pt-PT"/>
        </w:rPr>
        <w:t>Tal parecer não existe, sendo os documentos remetidos à Comissão referentes a outras questões.</w:t>
      </w:r>
    </w:p>
    <w:p w:rsidR="00AA1F8F" w:rsidRPr="00AA1F8F" w:rsidRDefault="00AA1F8F" w:rsidP="00AA1F8F">
      <w:pPr>
        <w:pBdr>
          <w:top w:val="single" w:sz="4" w:space="1" w:color="auto"/>
          <w:left w:val="single" w:sz="4" w:space="4" w:color="auto"/>
          <w:bottom w:val="single" w:sz="4" w:space="1" w:color="auto"/>
          <w:right w:val="single" w:sz="4" w:space="4" w:color="auto"/>
        </w:pBdr>
        <w:spacing w:line="360" w:lineRule="auto"/>
        <w:jc w:val="both"/>
        <w:rPr>
          <w:rFonts w:ascii="Garamond" w:hAnsi="Garamond"/>
          <w:sz w:val="24"/>
          <w:szCs w:val="24"/>
          <w:lang w:val="pt-PT"/>
        </w:rPr>
      </w:pPr>
      <w:r w:rsidRPr="00AA1F8F">
        <w:rPr>
          <w:rFonts w:ascii="Garamond" w:hAnsi="Garamond"/>
          <w:sz w:val="24"/>
          <w:szCs w:val="24"/>
          <w:lang w:val="pt-PT"/>
        </w:rPr>
        <w:t xml:space="preserve">Mais uma vez, ao contrário do que afirmam na página 4 – “As declarações do </w:t>
      </w:r>
      <w:proofErr w:type="spellStart"/>
      <w:r w:rsidRPr="00AA1F8F">
        <w:rPr>
          <w:rFonts w:ascii="Garamond" w:hAnsi="Garamond"/>
          <w:sz w:val="24"/>
          <w:szCs w:val="24"/>
          <w:lang w:val="pt-PT"/>
        </w:rPr>
        <w:t>ex</w:t>
      </w:r>
      <w:proofErr w:type="spellEnd"/>
      <w:r w:rsidRPr="00AA1F8F">
        <w:rPr>
          <w:rFonts w:ascii="Garamond" w:hAnsi="Garamond"/>
          <w:sz w:val="24"/>
          <w:szCs w:val="24"/>
          <w:lang w:val="pt-PT"/>
        </w:rPr>
        <w:t xml:space="preserve"> ministro do atual governo Álvaro Santos Pereira, (fundamentando em pareceres a decisão de substituir contrapartidas não cumpridas pelo projeto </w:t>
      </w:r>
      <w:proofErr w:type="spellStart"/>
      <w:r w:rsidRPr="00AA1F8F">
        <w:rPr>
          <w:rFonts w:ascii="Garamond" w:hAnsi="Garamond"/>
          <w:sz w:val="24"/>
          <w:szCs w:val="24"/>
          <w:lang w:val="pt-PT"/>
        </w:rPr>
        <w:t>Alfamar</w:t>
      </w:r>
      <w:proofErr w:type="spellEnd"/>
      <w:r w:rsidRPr="00AA1F8F">
        <w:rPr>
          <w:rFonts w:ascii="Garamond" w:hAnsi="Garamond"/>
          <w:sz w:val="24"/>
          <w:szCs w:val="24"/>
          <w:lang w:val="pt-PT"/>
        </w:rPr>
        <w:t>) são contraditadas pelos próprios pareceres” – ficamos sem perceber se, para os autores deste documento, afinal os pareceres existiam (página 4) ou não (página 12).</w:t>
      </w:r>
    </w:p>
    <w:p w:rsidR="00DE22F5" w:rsidRDefault="00DE22F5" w:rsidP="00AA1F8F">
      <w:pPr>
        <w:spacing w:after="0" w:line="360" w:lineRule="auto"/>
        <w:jc w:val="both"/>
        <w:rPr>
          <w:rFonts w:ascii="Garamond" w:hAnsi="Garamond" w:cs="Arial"/>
          <w:b/>
          <w:sz w:val="24"/>
          <w:szCs w:val="24"/>
          <w:lang w:val="pt-PT"/>
        </w:rPr>
      </w:pPr>
    </w:p>
    <w:p w:rsidR="00DE22F5" w:rsidRPr="00DE22F5" w:rsidRDefault="00DE22F5" w:rsidP="00AA1F8F">
      <w:pPr>
        <w:spacing w:after="0" w:line="360" w:lineRule="auto"/>
        <w:jc w:val="both"/>
        <w:rPr>
          <w:rFonts w:ascii="Garamond" w:hAnsi="Garamond" w:cs="Arial"/>
          <w:sz w:val="24"/>
          <w:szCs w:val="24"/>
          <w:lang w:val="pt-PT"/>
        </w:rPr>
      </w:pPr>
      <w:r w:rsidRPr="00DE22F5">
        <w:rPr>
          <w:rFonts w:ascii="Garamond" w:hAnsi="Garamond" w:cs="Arial"/>
          <w:sz w:val="24"/>
          <w:szCs w:val="24"/>
          <w:lang w:val="pt-PT"/>
        </w:rPr>
        <w:t>Não deixa de ser relevante que, para um relatório preliminar de 417 páginas, os três partidos não apresentam propostas de alteração ou de substituição da matéria de facto, apenas 15 páginas de um conjunto de considerações, erros e omissões que aqui se demonstram.</w:t>
      </w:r>
    </w:p>
    <w:p w:rsidR="00DE22F5" w:rsidRPr="00AA1F8F" w:rsidRDefault="00DE22F5" w:rsidP="00AA1F8F">
      <w:pPr>
        <w:spacing w:after="0" w:line="360" w:lineRule="auto"/>
        <w:jc w:val="both"/>
        <w:rPr>
          <w:rFonts w:ascii="Garamond" w:hAnsi="Garamond" w:cs="Arial"/>
          <w:b/>
          <w:sz w:val="24"/>
          <w:szCs w:val="24"/>
          <w:lang w:val="pt-PT"/>
        </w:rPr>
      </w:pPr>
    </w:p>
    <w:sectPr w:rsidR="00DE22F5" w:rsidRPr="00AA1F8F" w:rsidSect="00F01468">
      <w:headerReference w:type="even" r:id="rId9"/>
      <w:headerReference w:type="default" r:id="rId10"/>
      <w:footerReference w:type="even" r:id="rId11"/>
      <w:footerReference w:type="default" r:id="rId12"/>
      <w:pgSz w:w="11906" w:h="16838"/>
      <w:pgMar w:top="1701" w:right="1701" w:bottom="1417" w:left="1701" w:header="705"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410" w:rsidRDefault="00895410" w:rsidP="00976DAA">
      <w:pPr>
        <w:spacing w:after="0" w:line="240" w:lineRule="auto"/>
      </w:pPr>
      <w:r>
        <w:separator/>
      </w:r>
    </w:p>
  </w:endnote>
  <w:endnote w:type="continuationSeparator" w:id="0">
    <w:p w:rsidR="00895410" w:rsidRDefault="00895410" w:rsidP="00976D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E6F" w:rsidRDefault="00FC7E6F">
    <w:pPr>
      <w:pStyle w:val="Rodap"/>
      <w:jc w:val="right"/>
    </w:pPr>
    <w:fldSimple w:instr=" PAGE   \* MERGEFORMAT ">
      <w:r w:rsidR="00F12EFF">
        <w:rPr>
          <w:noProof/>
        </w:rPr>
        <w:t>14</w:t>
      </w:r>
    </w:fldSimple>
  </w:p>
  <w:p w:rsidR="00FC7E6F" w:rsidRDefault="00FC7E6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E6F" w:rsidRDefault="00FC7E6F">
    <w:pPr>
      <w:pStyle w:val="Rodap"/>
      <w:jc w:val="right"/>
    </w:pPr>
    <w:fldSimple w:instr=" PAGE   \* MERGEFORMAT ">
      <w:r w:rsidR="009D2252">
        <w:rPr>
          <w:noProof/>
        </w:rPr>
        <w:t>1</w:t>
      </w:r>
    </w:fldSimple>
  </w:p>
  <w:p w:rsidR="00FC7E6F" w:rsidRDefault="00FC7E6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410" w:rsidRDefault="00895410" w:rsidP="00976DAA">
      <w:pPr>
        <w:spacing w:after="0" w:line="240" w:lineRule="auto"/>
      </w:pPr>
      <w:r>
        <w:separator/>
      </w:r>
    </w:p>
  </w:footnote>
  <w:footnote w:type="continuationSeparator" w:id="0">
    <w:p w:rsidR="00895410" w:rsidRDefault="00895410" w:rsidP="00976D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E6F" w:rsidRDefault="00DE22F5" w:rsidP="00FC7E6F">
    <w:pPr>
      <w:pStyle w:val="Cabealho"/>
      <w:jc w:val="both"/>
      <w:rPr>
        <w:b/>
        <w:sz w:val="16"/>
        <w:lang w:val="pt-PT"/>
      </w:rPr>
    </w:pPr>
    <w:r>
      <w:rPr>
        <w:noProof/>
        <w:lang w:val="pt-PT" w:eastAsia="pt-PT" w:bidi="ar-SA"/>
      </w:rPr>
      <w:drawing>
        <wp:anchor distT="0" distB="0" distL="114300" distR="114300" simplePos="0" relativeHeight="251658752" behindDoc="0" locked="0" layoutInCell="1" allowOverlap="1">
          <wp:simplePos x="0" y="0"/>
          <wp:positionH relativeFrom="column">
            <wp:posOffset>3917315</wp:posOffset>
          </wp:positionH>
          <wp:positionV relativeFrom="paragraph">
            <wp:posOffset>170180</wp:posOffset>
          </wp:positionV>
          <wp:extent cx="464185" cy="559435"/>
          <wp:effectExtent l="19050" t="0" r="0" b="0"/>
          <wp:wrapNone/>
          <wp:docPr id="6" name="Imagem 4" descr="cds_pp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cds_pp_2"/>
                  <pic:cNvPicPr>
                    <a:picLocks noChangeAspect="1" noChangeArrowheads="1"/>
                  </pic:cNvPicPr>
                </pic:nvPicPr>
                <pic:blipFill>
                  <a:blip r:embed="rId1"/>
                  <a:srcRect/>
                  <a:stretch>
                    <a:fillRect/>
                  </a:stretch>
                </pic:blipFill>
                <pic:spPr bwMode="auto">
                  <a:xfrm>
                    <a:off x="0" y="0"/>
                    <a:ext cx="464185" cy="559435"/>
                  </a:xfrm>
                  <a:prstGeom prst="rect">
                    <a:avLst/>
                  </a:prstGeom>
                  <a:noFill/>
                  <a:ln w="9525">
                    <a:noFill/>
                    <a:miter lim="800000"/>
                    <a:headEnd/>
                    <a:tailEnd/>
                  </a:ln>
                </pic:spPr>
              </pic:pic>
            </a:graphicData>
          </a:graphic>
        </wp:anchor>
      </w:drawing>
    </w:r>
    <w:r>
      <w:rPr>
        <w:b/>
        <w:noProof/>
        <w:sz w:val="16"/>
        <w:lang w:val="pt-PT" w:eastAsia="pt-PT" w:bidi="ar-SA"/>
      </w:rPr>
      <w:drawing>
        <wp:inline distT="0" distB="0" distL="0" distR="0">
          <wp:extent cx="2209800" cy="80962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209800" cy="809625"/>
                  </a:xfrm>
                  <a:prstGeom prst="rect">
                    <a:avLst/>
                  </a:prstGeom>
                  <a:noFill/>
                  <a:ln w="9525">
                    <a:noFill/>
                    <a:miter lim="800000"/>
                    <a:headEnd/>
                    <a:tailEnd/>
                  </a:ln>
                </pic:spPr>
              </pic:pic>
            </a:graphicData>
          </a:graphic>
        </wp:inline>
      </w:drawing>
    </w:r>
    <w:r w:rsidR="00FC7E6F">
      <w:rPr>
        <w:b/>
        <w:noProof/>
        <w:sz w:val="16"/>
        <w:lang w:val="pt-PT" w:eastAsia="pt-PT" w:bidi="ar-SA"/>
      </w:rPr>
      <w:t xml:space="preserve">         </w:t>
    </w:r>
    <w:r>
      <w:rPr>
        <w:b/>
        <w:noProof/>
        <w:sz w:val="16"/>
        <w:lang w:val="pt-PT" w:eastAsia="pt-PT" w:bidi="ar-SA"/>
      </w:rPr>
      <w:drawing>
        <wp:inline distT="0" distB="0" distL="0" distR="0">
          <wp:extent cx="619125" cy="704850"/>
          <wp:effectExtent l="0" t="0" r="9525" b="0"/>
          <wp:docPr id="2" name="Imagem 6" descr="AR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AR_3.png"/>
                  <pic:cNvPicPr>
                    <a:picLocks noChangeAspect="1" noChangeArrowheads="1"/>
                  </pic:cNvPicPr>
                </pic:nvPicPr>
                <pic:blipFill>
                  <a:blip r:embed="rId3"/>
                  <a:srcRect/>
                  <a:stretch>
                    <a:fillRect/>
                  </a:stretch>
                </pic:blipFill>
                <pic:spPr bwMode="auto">
                  <a:xfrm>
                    <a:off x="0" y="0"/>
                    <a:ext cx="619125" cy="704850"/>
                  </a:xfrm>
                  <a:prstGeom prst="rect">
                    <a:avLst/>
                  </a:prstGeom>
                  <a:noFill/>
                  <a:ln w="9525">
                    <a:noFill/>
                    <a:miter lim="800000"/>
                    <a:headEnd/>
                    <a:tailEnd/>
                  </a:ln>
                </pic:spPr>
              </pic:pic>
            </a:graphicData>
          </a:graphic>
        </wp:inline>
      </w:drawing>
    </w:r>
  </w:p>
  <w:p w:rsidR="00FC7E6F" w:rsidRPr="00633F4E" w:rsidRDefault="00FC7E6F" w:rsidP="00FC7E6F">
    <w:pPr>
      <w:pStyle w:val="Cabealho"/>
      <w:jc w:val="center"/>
      <w:rPr>
        <w:b/>
        <w:sz w:val="24"/>
        <w:szCs w:val="24"/>
      </w:rPr>
    </w:pPr>
    <w:r>
      <w:rPr>
        <w:rFonts w:ascii="Times New Roman" w:hAnsi="Times New Roman"/>
        <w:b/>
        <w:caps/>
        <w:spacing w:val="24"/>
        <w:sz w:val="15"/>
        <w:szCs w:val="15"/>
      </w:rPr>
      <w:t xml:space="preserve">   </w:t>
    </w:r>
    <w:r w:rsidRPr="00AF3223">
      <w:rPr>
        <w:rFonts w:ascii="Times New Roman" w:hAnsi="Times New Roman"/>
        <w:b/>
        <w:caps/>
        <w:spacing w:val="24"/>
        <w:sz w:val="15"/>
        <w:szCs w:val="15"/>
      </w:rPr>
      <w:t>Assembleia da República</w:t>
    </w:r>
  </w:p>
  <w:p w:rsidR="00FC7E6F" w:rsidRDefault="00FC7E6F">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222" w:rsidRDefault="00DE22F5" w:rsidP="00D54814">
    <w:pPr>
      <w:pStyle w:val="Cabealho"/>
      <w:jc w:val="both"/>
      <w:rPr>
        <w:b/>
        <w:sz w:val="16"/>
        <w:lang w:val="pt-PT"/>
      </w:rPr>
    </w:pPr>
    <w:r>
      <w:rPr>
        <w:noProof/>
        <w:lang w:val="pt-PT" w:eastAsia="pt-PT" w:bidi="ar-SA"/>
      </w:rPr>
      <w:drawing>
        <wp:anchor distT="0" distB="0" distL="114300" distR="114300" simplePos="0" relativeHeight="251657728" behindDoc="0" locked="0" layoutInCell="1" allowOverlap="1">
          <wp:simplePos x="0" y="0"/>
          <wp:positionH relativeFrom="column">
            <wp:posOffset>3917315</wp:posOffset>
          </wp:positionH>
          <wp:positionV relativeFrom="paragraph">
            <wp:posOffset>170180</wp:posOffset>
          </wp:positionV>
          <wp:extent cx="464185" cy="559435"/>
          <wp:effectExtent l="19050" t="0" r="0" b="0"/>
          <wp:wrapNone/>
          <wp:docPr id="5" name="Imagem 4" descr="cds_pp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cds_pp_2"/>
                  <pic:cNvPicPr>
                    <a:picLocks noChangeAspect="1" noChangeArrowheads="1"/>
                  </pic:cNvPicPr>
                </pic:nvPicPr>
                <pic:blipFill>
                  <a:blip r:embed="rId1"/>
                  <a:srcRect/>
                  <a:stretch>
                    <a:fillRect/>
                  </a:stretch>
                </pic:blipFill>
                <pic:spPr bwMode="auto">
                  <a:xfrm>
                    <a:off x="0" y="0"/>
                    <a:ext cx="464185" cy="559435"/>
                  </a:xfrm>
                  <a:prstGeom prst="rect">
                    <a:avLst/>
                  </a:prstGeom>
                  <a:noFill/>
                  <a:ln w="9525">
                    <a:noFill/>
                    <a:miter lim="800000"/>
                    <a:headEnd/>
                    <a:tailEnd/>
                  </a:ln>
                </pic:spPr>
              </pic:pic>
            </a:graphicData>
          </a:graphic>
        </wp:anchor>
      </w:drawing>
    </w:r>
    <w:r>
      <w:rPr>
        <w:b/>
        <w:noProof/>
        <w:sz w:val="16"/>
        <w:lang w:val="pt-PT" w:eastAsia="pt-PT" w:bidi="ar-SA"/>
      </w:rPr>
      <w:drawing>
        <wp:inline distT="0" distB="0" distL="0" distR="0">
          <wp:extent cx="2209800" cy="809625"/>
          <wp:effectExtent l="1905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209800" cy="809625"/>
                  </a:xfrm>
                  <a:prstGeom prst="rect">
                    <a:avLst/>
                  </a:prstGeom>
                  <a:noFill/>
                  <a:ln w="9525">
                    <a:noFill/>
                    <a:miter lim="800000"/>
                    <a:headEnd/>
                    <a:tailEnd/>
                  </a:ln>
                </pic:spPr>
              </pic:pic>
            </a:graphicData>
          </a:graphic>
        </wp:inline>
      </w:drawing>
    </w:r>
    <w:r w:rsidR="007A333C">
      <w:rPr>
        <w:b/>
        <w:noProof/>
        <w:sz w:val="16"/>
        <w:lang w:val="pt-PT" w:eastAsia="pt-PT" w:bidi="ar-SA"/>
      </w:rPr>
      <w:t xml:space="preserve">         </w:t>
    </w:r>
    <w:r>
      <w:rPr>
        <w:b/>
        <w:noProof/>
        <w:sz w:val="16"/>
        <w:lang w:val="pt-PT" w:eastAsia="pt-PT" w:bidi="ar-SA"/>
      </w:rPr>
      <w:drawing>
        <wp:inline distT="0" distB="0" distL="0" distR="0">
          <wp:extent cx="619125" cy="704850"/>
          <wp:effectExtent l="0" t="0" r="9525" b="0"/>
          <wp:docPr id="4" name="Imagem 6" descr="AR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AR_3.png"/>
                  <pic:cNvPicPr>
                    <a:picLocks noChangeAspect="1" noChangeArrowheads="1"/>
                  </pic:cNvPicPr>
                </pic:nvPicPr>
                <pic:blipFill>
                  <a:blip r:embed="rId3"/>
                  <a:srcRect/>
                  <a:stretch>
                    <a:fillRect/>
                  </a:stretch>
                </pic:blipFill>
                <pic:spPr bwMode="auto">
                  <a:xfrm>
                    <a:off x="0" y="0"/>
                    <a:ext cx="619125" cy="704850"/>
                  </a:xfrm>
                  <a:prstGeom prst="rect">
                    <a:avLst/>
                  </a:prstGeom>
                  <a:noFill/>
                  <a:ln w="9525">
                    <a:noFill/>
                    <a:miter lim="800000"/>
                    <a:headEnd/>
                    <a:tailEnd/>
                  </a:ln>
                </pic:spPr>
              </pic:pic>
            </a:graphicData>
          </a:graphic>
        </wp:inline>
      </w:drawing>
    </w:r>
  </w:p>
  <w:p w:rsidR="00AF6222" w:rsidRPr="00633F4E" w:rsidRDefault="007A333C" w:rsidP="00633F4E">
    <w:pPr>
      <w:pStyle w:val="Cabealho"/>
      <w:jc w:val="center"/>
      <w:rPr>
        <w:b/>
        <w:sz w:val="24"/>
        <w:szCs w:val="24"/>
      </w:rPr>
    </w:pPr>
    <w:r>
      <w:rPr>
        <w:rFonts w:ascii="Times New Roman" w:hAnsi="Times New Roman"/>
        <w:b/>
        <w:caps/>
        <w:spacing w:val="24"/>
        <w:sz w:val="15"/>
        <w:szCs w:val="15"/>
      </w:rPr>
      <w:t xml:space="preserve">   </w:t>
    </w:r>
    <w:r w:rsidR="00AF6222" w:rsidRPr="00AF3223">
      <w:rPr>
        <w:rFonts w:ascii="Times New Roman" w:hAnsi="Times New Roman"/>
        <w:b/>
        <w:caps/>
        <w:spacing w:val="24"/>
        <w:sz w:val="15"/>
        <w:szCs w:val="15"/>
      </w:rPr>
      <w:t>Assembleia da República</w:t>
    </w:r>
  </w:p>
  <w:p w:rsidR="00AF6222" w:rsidRPr="00D54814" w:rsidRDefault="00751C3E" w:rsidP="00263426">
    <w:pPr>
      <w:pStyle w:val="Cabealho"/>
      <w:jc w:val="center"/>
      <w:rPr>
        <w:rFonts w:ascii="Times New Roman" w:hAnsi="Times New Roman"/>
      </w:rPr>
    </w:pPr>
    <w:r w:rsidRPr="00D54814">
      <w:rPr>
        <w:rFonts w:ascii="Times New Roman" w:hAnsi="Times New Roman"/>
        <w:noProof/>
        <w:lang w:val="pt-PT" w:eastAsia="pt-PT" w:bidi="ar-SA"/>
      </w:rPr>
      <w:pict>
        <v:shapetype id="_x0000_t32" coordsize="21600,21600" o:spt="32" o:oned="t" path="m,l21600,21600e" filled="f">
          <v:path arrowok="t" fillok="f" o:connecttype="none"/>
          <o:lock v:ext="edit" shapetype="t"/>
        </v:shapetype>
        <v:shape id="_x0000_s2049" type="#_x0000_t32" style="position:absolute;left:0;text-align:left;margin-left:-9.3pt;margin-top:1.3pt;width:439.55pt;height:.05pt;z-index:251656704"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60A51"/>
    <w:multiLevelType w:val="hybridMultilevel"/>
    <w:tmpl w:val="3ED0114A"/>
    <w:lvl w:ilvl="0" w:tplc="B85AFD62">
      <w:start w:val="5"/>
      <w:numFmt w:val="decimal"/>
      <w:lvlText w:val="%1-"/>
      <w:lvlJc w:val="left"/>
      <w:pPr>
        <w:ind w:left="218" w:hanging="360"/>
      </w:pPr>
      <w:rPr>
        <w:rFonts w:hint="default"/>
      </w:rPr>
    </w:lvl>
    <w:lvl w:ilvl="1" w:tplc="08160019" w:tentative="1">
      <w:start w:val="1"/>
      <w:numFmt w:val="lowerLetter"/>
      <w:lvlText w:val="%2."/>
      <w:lvlJc w:val="left"/>
      <w:pPr>
        <w:ind w:left="938" w:hanging="360"/>
      </w:pPr>
    </w:lvl>
    <w:lvl w:ilvl="2" w:tplc="0816001B" w:tentative="1">
      <w:start w:val="1"/>
      <w:numFmt w:val="lowerRoman"/>
      <w:lvlText w:val="%3."/>
      <w:lvlJc w:val="right"/>
      <w:pPr>
        <w:ind w:left="1658" w:hanging="180"/>
      </w:pPr>
    </w:lvl>
    <w:lvl w:ilvl="3" w:tplc="0816000F" w:tentative="1">
      <w:start w:val="1"/>
      <w:numFmt w:val="decimal"/>
      <w:lvlText w:val="%4."/>
      <w:lvlJc w:val="left"/>
      <w:pPr>
        <w:ind w:left="2378" w:hanging="360"/>
      </w:pPr>
    </w:lvl>
    <w:lvl w:ilvl="4" w:tplc="08160019" w:tentative="1">
      <w:start w:val="1"/>
      <w:numFmt w:val="lowerLetter"/>
      <w:lvlText w:val="%5."/>
      <w:lvlJc w:val="left"/>
      <w:pPr>
        <w:ind w:left="3098" w:hanging="360"/>
      </w:pPr>
    </w:lvl>
    <w:lvl w:ilvl="5" w:tplc="0816001B" w:tentative="1">
      <w:start w:val="1"/>
      <w:numFmt w:val="lowerRoman"/>
      <w:lvlText w:val="%6."/>
      <w:lvlJc w:val="right"/>
      <w:pPr>
        <w:ind w:left="3818" w:hanging="180"/>
      </w:pPr>
    </w:lvl>
    <w:lvl w:ilvl="6" w:tplc="0816000F" w:tentative="1">
      <w:start w:val="1"/>
      <w:numFmt w:val="decimal"/>
      <w:lvlText w:val="%7."/>
      <w:lvlJc w:val="left"/>
      <w:pPr>
        <w:ind w:left="4538" w:hanging="360"/>
      </w:pPr>
    </w:lvl>
    <w:lvl w:ilvl="7" w:tplc="08160019" w:tentative="1">
      <w:start w:val="1"/>
      <w:numFmt w:val="lowerLetter"/>
      <w:lvlText w:val="%8."/>
      <w:lvlJc w:val="left"/>
      <w:pPr>
        <w:ind w:left="5258" w:hanging="360"/>
      </w:pPr>
    </w:lvl>
    <w:lvl w:ilvl="8" w:tplc="0816001B" w:tentative="1">
      <w:start w:val="1"/>
      <w:numFmt w:val="lowerRoman"/>
      <w:lvlText w:val="%9."/>
      <w:lvlJc w:val="right"/>
      <w:pPr>
        <w:ind w:left="5978" w:hanging="180"/>
      </w:pPr>
    </w:lvl>
  </w:abstractNum>
  <w:abstractNum w:abstractNumId="1">
    <w:nsid w:val="1D782EAB"/>
    <w:multiLevelType w:val="hybridMultilevel"/>
    <w:tmpl w:val="E82A4744"/>
    <w:lvl w:ilvl="0" w:tplc="C09E112A">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31D20DAC"/>
    <w:multiLevelType w:val="hybridMultilevel"/>
    <w:tmpl w:val="89223DB6"/>
    <w:lvl w:ilvl="0" w:tplc="F51E0A2C">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
    <w:nsid w:val="36D24987"/>
    <w:multiLevelType w:val="hybridMultilevel"/>
    <w:tmpl w:val="192884F8"/>
    <w:lvl w:ilvl="0" w:tplc="0816000F">
      <w:start w:val="1"/>
      <w:numFmt w:val="decimal"/>
      <w:lvlText w:val="%1."/>
      <w:lvlJc w:val="left"/>
      <w:pPr>
        <w:ind w:left="644" w:hanging="360"/>
      </w:p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4">
    <w:nsid w:val="3D6C1835"/>
    <w:multiLevelType w:val="hybridMultilevel"/>
    <w:tmpl w:val="C320558C"/>
    <w:lvl w:ilvl="0" w:tplc="0CECF59A">
      <w:start w:val="1"/>
      <w:numFmt w:val="decimal"/>
      <w:lvlText w:val="%1."/>
      <w:lvlJc w:val="left"/>
      <w:pPr>
        <w:ind w:left="644" w:hanging="36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5">
    <w:nsid w:val="410D5342"/>
    <w:multiLevelType w:val="hybridMultilevel"/>
    <w:tmpl w:val="F7762CEA"/>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43AE38BC"/>
    <w:multiLevelType w:val="hybridMultilevel"/>
    <w:tmpl w:val="42984870"/>
    <w:lvl w:ilvl="0" w:tplc="3012A17A">
      <w:start w:val="1"/>
      <w:numFmt w:val="decimal"/>
      <w:lvlText w:val="%1."/>
      <w:lvlJc w:val="left"/>
      <w:pPr>
        <w:ind w:left="644" w:hanging="360"/>
      </w:pPr>
      <w:rPr>
        <w:rFonts w:hint="default"/>
        <w:sz w:val="22"/>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7">
    <w:nsid w:val="43AF562A"/>
    <w:multiLevelType w:val="hybridMultilevel"/>
    <w:tmpl w:val="D12057E6"/>
    <w:lvl w:ilvl="0" w:tplc="A60CC83A">
      <w:start w:val="1"/>
      <w:numFmt w:val="decimal"/>
      <w:lvlText w:val="%1."/>
      <w:lvlJc w:val="left"/>
      <w:pPr>
        <w:ind w:left="720" w:hanging="360"/>
      </w:pPr>
      <w:rPr>
        <w:rFonts w:ascii="Footlight MT Light" w:hAnsi="Footlight MT Light" w:cs="Arial"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nsid w:val="48994A37"/>
    <w:multiLevelType w:val="hybridMultilevel"/>
    <w:tmpl w:val="E82A4744"/>
    <w:lvl w:ilvl="0" w:tplc="C09E112A">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nsid w:val="4CAD49A1"/>
    <w:multiLevelType w:val="hybridMultilevel"/>
    <w:tmpl w:val="98404FE0"/>
    <w:lvl w:ilvl="0" w:tplc="CF7C652A">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nsid w:val="4ED34BD6"/>
    <w:multiLevelType w:val="hybridMultilevel"/>
    <w:tmpl w:val="E82A4744"/>
    <w:lvl w:ilvl="0" w:tplc="C09E112A">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nsid w:val="50D00E0B"/>
    <w:multiLevelType w:val="hybridMultilevel"/>
    <w:tmpl w:val="068A36B0"/>
    <w:lvl w:ilvl="0" w:tplc="85DA812E">
      <w:start w:val="1"/>
      <w:numFmt w:val="decimal"/>
      <w:lvlText w:val="%1."/>
      <w:lvlJc w:val="left"/>
      <w:pPr>
        <w:ind w:left="644" w:hanging="360"/>
      </w:pPr>
      <w:rPr>
        <w:rFonts w:hint="default"/>
        <w:b/>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12">
    <w:nsid w:val="58865C53"/>
    <w:multiLevelType w:val="hybridMultilevel"/>
    <w:tmpl w:val="362C97AC"/>
    <w:lvl w:ilvl="0" w:tplc="502055E2">
      <w:start w:val="1"/>
      <w:numFmt w:val="lowerLetter"/>
      <w:lvlText w:val="%1)"/>
      <w:lvlJc w:val="left"/>
      <w:pPr>
        <w:ind w:left="1004" w:hanging="360"/>
      </w:pPr>
      <w:rPr>
        <w:rFonts w:hint="default"/>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13">
    <w:nsid w:val="59B9549E"/>
    <w:multiLevelType w:val="hybridMultilevel"/>
    <w:tmpl w:val="B0483B1A"/>
    <w:lvl w:ilvl="0" w:tplc="9B5ED85A">
      <w:start w:val="1"/>
      <w:numFmt w:val="decimal"/>
      <w:lvlText w:val="%1."/>
      <w:lvlJc w:val="left"/>
      <w:pPr>
        <w:ind w:left="644" w:hanging="36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14">
    <w:nsid w:val="6D646BE9"/>
    <w:multiLevelType w:val="hybridMultilevel"/>
    <w:tmpl w:val="6B449AFE"/>
    <w:lvl w:ilvl="0" w:tplc="3252BEA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nsid w:val="70D4548A"/>
    <w:multiLevelType w:val="hybridMultilevel"/>
    <w:tmpl w:val="DB781D06"/>
    <w:lvl w:ilvl="0" w:tplc="0816000F">
      <w:start w:val="1"/>
      <w:numFmt w:val="decimal"/>
      <w:lvlText w:val="%1."/>
      <w:lvlJc w:val="left"/>
      <w:pPr>
        <w:ind w:left="502"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nsid w:val="7880156E"/>
    <w:multiLevelType w:val="hybridMultilevel"/>
    <w:tmpl w:val="C834F39A"/>
    <w:lvl w:ilvl="0" w:tplc="D20A6902">
      <w:start w:val="35"/>
      <w:numFmt w:val="decimal"/>
      <w:lvlText w:val="%1."/>
      <w:lvlJc w:val="left"/>
      <w:pPr>
        <w:ind w:left="502" w:hanging="360"/>
      </w:pPr>
      <w:rPr>
        <w:rFonts w:hint="default"/>
      </w:rPr>
    </w:lvl>
    <w:lvl w:ilvl="1" w:tplc="08160019" w:tentative="1">
      <w:start w:val="1"/>
      <w:numFmt w:val="lowerLetter"/>
      <w:lvlText w:val="%2."/>
      <w:lvlJc w:val="left"/>
      <w:pPr>
        <w:ind w:left="1222" w:hanging="360"/>
      </w:pPr>
    </w:lvl>
    <w:lvl w:ilvl="2" w:tplc="0816001B" w:tentative="1">
      <w:start w:val="1"/>
      <w:numFmt w:val="lowerRoman"/>
      <w:lvlText w:val="%3."/>
      <w:lvlJc w:val="right"/>
      <w:pPr>
        <w:ind w:left="1942" w:hanging="180"/>
      </w:pPr>
    </w:lvl>
    <w:lvl w:ilvl="3" w:tplc="0816000F" w:tentative="1">
      <w:start w:val="1"/>
      <w:numFmt w:val="decimal"/>
      <w:lvlText w:val="%4."/>
      <w:lvlJc w:val="left"/>
      <w:pPr>
        <w:ind w:left="2662" w:hanging="360"/>
      </w:pPr>
    </w:lvl>
    <w:lvl w:ilvl="4" w:tplc="08160019" w:tentative="1">
      <w:start w:val="1"/>
      <w:numFmt w:val="lowerLetter"/>
      <w:lvlText w:val="%5."/>
      <w:lvlJc w:val="left"/>
      <w:pPr>
        <w:ind w:left="3382" w:hanging="360"/>
      </w:pPr>
    </w:lvl>
    <w:lvl w:ilvl="5" w:tplc="0816001B" w:tentative="1">
      <w:start w:val="1"/>
      <w:numFmt w:val="lowerRoman"/>
      <w:lvlText w:val="%6."/>
      <w:lvlJc w:val="right"/>
      <w:pPr>
        <w:ind w:left="4102" w:hanging="180"/>
      </w:pPr>
    </w:lvl>
    <w:lvl w:ilvl="6" w:tplc="0816000F" w:tentative="1">
      <w:start w:val="1"/>
      <w:numFmt w:val="decimal"/>
      <w:lvlText w:val="%7."/>
      <w:lvlJc w:val="left"/>
      <w:pPr>
        <w:ind w:left="4822" w:hanging="360"/>
      </w:pPr>
    </w:lvl>
    <w:lvl w:ilvl="7" w:tplc="08160019" w:tentative="1">
      <w:start w:val="1"/>
      <w:numFmt w:val="lowerLetter"/>
      <w:lvlText w:val="%8."/>
      <w:lvlJc w:val="left"/>
      <w:pPr>
        <w:ind w:left="5542" w:hanging="360"/>
      </w:pPr>
    </w:lvl>
    <w:lvl w:ilvl="8" w:tplc="0816001B" w:tentative="1">
      <w:start w:val="1"/>
      <w:numFmt w:val="lowerRoman"/>
      <w:lvlText w:val="%9."/>
      <w:lvlJc w:val="right"/>
      <w:pPr>
        <w:ind w:left="6262" w:hanging="180"/>
      </w:pPr>
    </w:lvl>
  </w:abstractNum>
  <w:abstractNum w:abstractNumId="17">
    <w:nsid w:val="79C133A6"/>
    <w:multiLevelType w:val="hybridMultilevel"/>
    <w:tmpl w:val="7E22732A"/>
    <w:lvl w:ilvl="0" w:tplc="F02EB3A6">
      <w:start w:val="1"/>
      <w:numFmt w:val="decimal"/>
      <w:lvlText w:val="%1-"/>
      <w:lvlJc w:val="left"/>
      <w:pPr>
        <w:ind w:left="218" w:hanging="360"/>
      </w:pPr>
      <w:rPr>
        <w:rFonts w:hint="default"/>
      </w:rPr>
    </w:lvl>
    <w:lvl w:ilvl="1" w:tplc="08160019" w:tentative="1">
      <w:start w:val="1"/>
      <w:numFmt w:val="lowerLetter"/>
      <w:lvlText w:val="%2."/>
      <w:lvlJc w:val="left"/>
      <w:pPr>
        <w:ind w:left="938" w:hanging="360"/>
      </w:pPr>
    </w:lvl>
    <w:lvl w:ilvl="2" w:tplc="0816001B" w:tentative="1">
      <w:start w:val="1"/>
      <w:numFmt w:val="lowerRoman"/>
      <w:lvlText w:val="%3."/>
      <w:lvlJc w:val="right"/>
      <w:pPr>
        <w:ind w:left="1658" w:hanging="180"/>
      </w:pPr>
    </w:lvl>
    <w:lvl w:ilvl="3" w:tplc="0816000F" w:tentative="1">
      <w:start w:val="1"/>
      <w:numFmt w:val="decimal"/>
      <w:lvlText w:val="%4."/>
      <w:lvlJc w:val="left"/>
      <w:pPr>
        <w:ind w:left="2378" w:hanging="360"/>
      </w:pPr>
    </w:lvl>
    <w:lvl w:ilvl="4" w:tplc="08160019" w:tentative="1">
      <w:start w:val="1"/>
      <w:numFmt w:val="lowerLetter"/>
      <w:lvlText w:val="%5."/>
      <w:lvlJc w:val="left"/>
      <w:pPr>
        <w:ind w:left="3098" w:hanging="360"/>
      </w:pPr>
    </w:lvl>
    <w:lvl w:ilvl="5" w:tplc="0816001B" w:tentative="1">
      <w:start w:val="1"/>
      <w:numFmt w:val="lowerRoman"/>
      <w:lvlText w:val="%6."/>
      <w:lvlJc w:val="right"/>
      <w:pPr>
        <w:ind w:left="3818" w:hanging="180"/>
      </w:pPr>
    </w:lvl>
    <w:lvl w:ilvl="6" w:tplc="0816000F" w:tentative="1">
      <w:start w:val="1"/>
      <w:numFmt w:val="decimal"/>
      <w:lvlText w:val="%7."/>
      <w:lvlJc w:val="left"/>
      <w:pPr>
        <w:ind w:left="4538" w:hanging="360"/>
      </w:pPr>
    </w:lvl>
    <w:lvl w:ilvl="7" w:tplc="08160019" w:tentative="1">
      <w:start w:val="1"/>
      <w:numFmt w:val="lowerLetter"/>
      <w:lvlText w:val="%8."/>
      <w:lvlJc w:val="left"/>
      <w:pPr>
        <w:ind w:left="5258" w:hanging="360"/>
      </w:pPr>
    </w:lvl>
    <w:lvl w:ilvl="8" w:tplc="0816001B" w:tentative="1">
      <w:start w:val="1"/>
      <w:numFmt w:val="lowerRoman"/>
      <w:lvlText w:val="%9."/>
      <w:lvlJc w:val="right"/>
      <w:pPr>
        <w:ind w:left="5978" w:hanging="180"/>
      </w:pPr>
    </w:lvl>
  </w:abstractNum>
  <w:num w:numId="1">
    <w:abstractNumId w:val="6"/>
  </w:num>
  <w:num w:numId="2">
    <w:abstractNumId w:val="4"/>
  </w:num>
  <w:num w:numId="3">
    <w:abstractNumId w:val="13"/>
  </w:num>
  <w:num w:numId="4">
    <w:abstractNumId w:val="9"/>
  </w:num>
  <w:num w:numId="5">
    <w:abstractNumId w:val="14"/>
  </w:num>
  <w:num w:numId="6">
    <w:abstractNumId w:val="11"/>
  </w:num>
  <w:num w:numId="7">
    <w:abstractNumId w:val="2"/>
  </w:num>
  <w:num w:numId="8">
    <w:abstractNumId w:val="12"/>
  </w:num>
  <w:num w:numId="9">
    <w:abstractNumId w:val="3"/>
  </w:num>
  <w:num w:numId="10">
    <w:abstractNumId w:val="7"/>
  </w:num>
  <w:num w:numId="11">
    <w:abstractNumId w:val="8"/>
  </w:num>
  <w:num w:numId="12">
    <w:abstractNumId w:val="5"/>
  </w:num>
  <w:num w:numId="13">
    <w:abstractNumId w:val="1"/>
  </w:num>
  <w:num w:numId="14">
    <w:abstractNumId w:val="15"/>
  </w:num>
  <w:num w:numId="15">
    <w:abstractNumId w:val="16"/>
  </w:num>
  <w:num w:numId="16">
    <w:abstractNumId w:val="10"/>
  </w:num>
  <w:num w:numId="17">
    <w:abstractNumId w:val="17"/>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09"/>
  <w:hyphenationZone w:val="425"/>
  <w:evenAndOddHeaders/>
  <w:drawingGridHorizontalSpacing w:val="110"/>
  <w:displayHorizontalDrawingGridEvery w:val="2"/>
  <w:doNotShadeFormData/>
  <w:characterSpacingControl w:val="doNotCompress"/>
  <w:hdrShapeDefaults>
    <o:shapedefaults v:ext="edit" spidmax="3074"/>
    <o:shapelayout v:ext="edit">
      <o:idmap v:ext="edit" data="2"/>
      <o:rules v:ext="edit">
        <o:r id="V:Rule1" type="connector" idref="#_x0000_s2049"/>
      </o:rules>
    </o:shapelayout>
  </w:hdrShapeDefaults>
  <w:footnotePr>
    <w:footnote w:id="-1"/>
    <w:footnote w:id="0"/>
  </w:footnotePr>
  <w:endnotePr>
    <w:endnote w:id="-1"/>
    <w:endnote w:id="0"/>
  </w:endnotePr>
  <w:compat/>
  <w:rsids>
    <w:rsidRoot w:val="00EB7CD2"/>
    <w:rsid w:val="000026D0"/>
    <w:rsid w:val="000077CB"/>
    <w:rsid w:val="0001219F"/>
    <w:rsid w:val="000239B3"/>
    <w:rsid w:val="00023AC5"/>
    <w:rsid w:val="00023B65"/>
    <w:rsid w:val="00026AEC"/>
    <w:rsid w:val="0002798D"/>
    <w:rsid w:val="00032981"/>
    <w:rsid w:val="00032ADB"/>
    <w:rsid w:val="000359DE"/>
    <w:rsid w:val="00037D5A"/>
    <w:rsid w:val="000406A2"/>
    <w:rsid w:val="00041B54"/>
    <w:rsid w:val="00047019"/>
    <w:rsid w:val="000576CC"/>
    <w:rsid w:val="00060614"/>
    <w:rsid w:val="00064EBB"/>
    <w:rsid w:val="000815B5"/>
    <w:rsid w:val="00081DCB"/>
    <w:rsid w:val="00095087"/>
    <w:rsid w:val="00097BE7"/>
    <w:rsid w:val="000A57C6"/>
    <w:rsid w:val="000A6F7C"/>
    <w:rsid w:val="000B1783"/>
    <w:rsid w:val="000C06E9"/>
    <w:rsid w:val="000C173D"/>
    <w:rsid w:val="000C2270"/>
    <w:rsid w:val="000E0F6C"/>
    <w:rsid w:val="000E2B63"/>
    <w:rsid w:val="000F0D6E"/>
    <w:rsid w:val="000F5E1D"/>
    <w:rsid w:val="000F6667"/>
    <w:rsid w:val="00102767"/>
    <w:rsid w:val="001054E5"/>
    <w:rsid w:val="00106866"/>
    <w:rsid w:val="00121DCA"/>
    <w:rsid w:val="00123438"/>
    <w:rsid w:val="00123D8A"/>
    <w:rsid w:val="00130A4A"/>
    <w:rsid w:val="00134580"/>
    <w:rsid w:val="001465EA"/>
    <w:rsid w:val="00151CD8"/>
    <w:rsid w:val="00171F6C"/>
    <w:rsid w:val="00175539"/>
    <w:rsid w:val="00182C2C"/>
    <w:rsid w:val="0018318D"/>
    <w:rsid w:val="001977C6"/>
    <w:rsid w:val="001A0905"/>
    <w:rsid w:val="001C25F6"/>
    <w:rsid w:val="001C72C8"/>
    <w:rsid w:val="001C745B"/>
    <w:rsid w:val="001D2E28"/>
    <w:rsid w:val="001E2078"/>
    <w:rsid w:val="001E57D2"/>
    <w:rsid w:val="001F75B8"/>
    <w:rsid w:val="00206EDB"/>
    <w:rsid w:val="00217681"/>
    <w:rsid w:val="0022065D"/>
    <w:rsid w:val="002235B2"/>
    <w:rsid w:val="00227D0D"/>
    <w:rsid w:val="00233727"/>
    <w:rsid w:val="00235192"/>
    <w:rsid w:val="002364FB"/>
    <w:rsid w:val="00252964"/>
    <w:rsid w:val="00252BA3"/>
    <w:rsid w:val="00252D56"/>
    <w:rsid w:val="002536F9"/>
    <w:rsid w:val="0025733A"/>
    <w:rsid w:val="00260650"/>
    <w:rsid w:val="00263426"/>
    <w:rsid w:val="00274C85"/>
    <w:rsid w:val="002808FB"/>
    <w:rsid w:val="002820B5"/>
    <w:rsid w:val="002836DF"/>
    <w:rsid w:val="00286E57"/>
    <w:rsid w:val="00291BC7"/>
    <w:rsid w:val="00297852"/>
    <w:rsid w:val="002A3FA8"/>
    <w:rsid w:val="002B09FA"/>
    <w:rsid w:val="002B61BE"/>
    <w:rsid w:val="002C164E"/>
    <w:rsid w:val="002C2077"/>
    <w:rsid w:val="002D7A9D"/>
    <w:rsid w:val="002E6323"/>
    <w:rsid w:val="002F3A42"/>
    <w:rsid w:val="00307C4D"/>
    <w:rsid w:val="00315E3A"/>
    <w:rsid w:val="003209C0"/>
    <w:rsid w:val="003259A1"/>
    <w:rsid w:val="00327DEE"/>
    <w:rsid w:val="00332FA9"/>
    <w:rsid w:val="00335776"/>
    <w:rsid w:val="003366C5"/>
    <w:rsid w:val="00342A05"/>
    <w:rsid w:val="0035331D"/>
    <w:rsid w:val="00354034"/>
    <w:rsid w:val="00355C50"/>
    <w:rsid w:val="0036623F"/>
    <w:rsid w:val="00371D77"/>
    <w:rsid w:val="00376BF3"/>
    <w:rsid w:val="003814EF"/>
    <w:rsid w:val="00397C26"/>
    <w:rsid w:val="003A02E4"/>
    <w:rsid w:val="003A6C50"/>
    <w:rsid w:val="003B4F99"/>
    <w:rsid w:val="003C07E9"/>
    <w:rsid w:val="003D3932"/>
    <w:rsid w:val="003D4884"/>
    <w:rsid w:val="003D5532"/>
    <w:rsid w:val="003F346C"/>
    <w:rsid w:val="003F598A"/>
    <w:rsid w:val="003F7FF0"/>
    <w:rsid w:val="004009BA"/>
    <w:rsid w:val="00400E7C"/>
    <w:rsid w:val="00411E98"/>
    <w:rsid w:val="0041412E"/>
    <w:rsid w:val="004309FD"/>
    <w:rsid w:val="00431A73"/>
    <w:rsid w:val="0043345E"/>
    <w:rsid w:val="00445C57"/>
    <w:rsid w:val="00452FE6"/>
    <w:rsid w:val="00454F1E"/>
    <w:rsid w:val="00466A75"/>
    <w:rsid w:val="00466C51"/>
    <w:rsid w:val="0047370D"/>
    <w:rsid w:val="00474532"/>
    <w:rsid w:val="0047779F"/>
    <w:rsid w:val="00480F05"/>
    <w:rsid w:val="00484295"/>
    <w:rsid w:val="00485746"/>
    <w:rsid w:val="00497B57"/>
    <w:rsid w:val="004A2F64"/>
    <w:rsid w:val="004A30B5"/>
    <w:rsid w:val="004A6ADD"/>
    <w:rsid w:val="004B1373"/>
    <w:rsid w:val="004C2B02"/>
    <w:rsid w:val="004D2628"/>
    <w:rsid w:val="004D55E5"/>
    <w:rsid w:val="00501597"/>
    <w:rsid w:val="005078F8"/>
    <w:rsid w:val="00515DBE"/>
    <w:rsid w:val="00515EAE"/>
    <w:rsid w:val="005260CA"/>
    <w:rsid w:val="0052732F"/>
    <w:rsid w:val="00531837"/>
    <w:rsid w:val="00532ABA"/>
    <w:rsid w:val="005462F6"/>
    <w:rsid w:val="00560428"/>
    <w:rsid w:val="00574CCB"/>
    <w:rsid w:val="00574E1C"/>
    <w:rsid w:val="005755EA"/>
    <w:rsid w:val="00577426"/>
    <w:rsid w:val="0059196F"/>
    <w:rsid w:val="0059493C"/>
    <w:rsid w:val="005A054A"/>
    <w:rsid w:val="005A6EE3"/>
    <w:rsid w:val="005B7D98"/>
    <w:rsid w:val="005B7E0C"/>
    <w:rsid w:val="005C2EE1"/>
    <w:rsid w:val="005C4C52"/>
    <w:rsid w:val="005C4F62"/>
    <w:rsid w:val="005C7C15"/>
    <w:rsid w:val="005D27B3"/>
    <w:rsid w:val="005D57BE"/>
    <w:rsid w:val="005D7C7D"/>
    <w:rsid w:val="005E1B43"/>
    <w:rsid w:val="005E1B6B"/>
    <w:rsid w:val="005E5470"/>
    <w:rsid w:val="005F6FC1"/>
    <w:rsid w:val="00603B7F"/>
    <w:rsid w:val="0060686F"/>
    <w:rsid w:val="00606F3E"/>
    <w:rsid w:val="00625AFB"/>
    <w:rsid w:val="0063135C"/>
    <w:rsid w:val="00633F4E"/>
    <w:rsid w:val="0064070C"/>
    <w:rsid w:val="00641720"/>
    <w:rsid w:val="00653099"/>
    <w:rsid w:val="0065545B"/>
    <w:rsid w:val="006662EC"/>
    <w:rsid w:val="0068004A"/>
    <w:rsid w:val="0068216A"/>
    <w:rsid w:val="006B0B54"/>
    <w:rsid w:val="006B2AEC"/>
    <w:rsid w:val="006C5935"/>
    <w:rsid w:val="006D1B7C"/>
    <w:rsid w:val="006D317C"/>
    <w:rsid w:val="006E1071"/>
    <w:rsid w:val="006E2D12"/>
    <w:rsid w:val="006E4458"/>
    <w:rsid w:val="006E457D"/>
    <w:rsid w:val="006E77BD"/>
    <w:rsid w:val="006F1755"/>
    <w:rsid w:val="006F23B1"/>
    <w:rsid w:val="00701C50"/>
    <w:rsid w:val="007145DD"/>
    <w:rsid w:val="007241B6"/>
    <w:rsid w:val="00727C80"/>
    <w:rsid w:val="00740CF2"/>
    <w:rsid w:val="007448A7"/>
    <w:rsid w:val="00745E45"/>
    <w:rsid w:val="00751C3E"/>
    <w:rsid w:val="00752BB3"/>
    <w:rsid w:val="00754F5B"/>
    <w:rsid w:val="0075565F"/>
    <w:rsid w:val="00775054"/>
    <w:rsid w:val="007875B0"/>
    <w:rsid w:val="007876BC"/>
    <w:rsid w:val="00790182"/>
    <w:rsid w:val="00794DB7"/>
    <w:rsid w:val="007A333C"/>
    <w:rsid w:val="007A6249"/>
    <w:rsid w:val="007C3282"/>
    <w:rsid w:val="007D7A5B"/>
    <w:rsid w:val="007F4901"/>
    <w:rsid w:val="007F58CC"/>
    <w:rsid w:val="0080030E"/>
    <w:rsid w:val="00801D62"/>
    <w:rsid w:val="00806DB8"/>
    <w:rsid w:val="00812C5C"/>
    <w:rsid w:val="00814353"/>
    <w:rsid w:val="00817844"/>
    <w:rsid w:val="0082221D"/>
    <w:rsid w:val="00822C1D"/>
    <w:rsid w:val="0082316B"/>
    <w:rsid w:val="00825758"/>
    <w:rsid w:val="008355E3"/>
    <w:rsid w:val="00847DCA"/>
    <w:rsid w:val="00850DE1"/>
    <w:rsid w:val="0085238B"/>
    <w:rsid w:val="008603D6"/>
    <w:rsid w:val="00862CF3"/>
    <w:rsid w:val="008659E1"/>
    <w:rsid w:val="00866F92"/>
    <w:rsid w:val="00876C52"/>
    <w:rsid w:val="00880388"/>
    <w:rsid w:val="00881A66"/>
    <w:rsid w:val="008903C6"/>
    <w:rsid w:val="00895410"/>
    <w:rsid w:val="00897AD4"/>
    <w:rsid w:val="008A1439"/>
    <w:rsid w:val="008A495C"/>
    <w:rsid w:val="008A6594"/>
    <w:rsid w:val="008A72DE"/>
    <w:rsid w:val="008B6A87"/>
    <w:rsid w:val="008C16A4"/>
    <w:rsid w:val="008C31DE"/>
    <w:rsid w:val="008D1990"/>
    <w:rsid w:val="008D3123"/>
    <w:rsid w:val="008D6C7B"/>
    <w:rsid w:val="008E1852"/>
    <w:rsid w:val="008E2609"/>
    <w:rsid w:val="008E3426"/>
    <w:rsid w:val="008E3D94"/>
    <w:rsid w:val="008E4C1E"/>
    <w:rsid w:val="008F2310"/>
    <w:rsid w:val="008F272C"/>
    <w:rsid w:val="00901158"/>
    <w:rsid w:val="00914C90"/>
    <w:rsid w:val="00916E25"/>
    <w:rsid w:val="0091731A"/>
    <w:rsid w:val="00922097"/>
    <w:rsid w:val="009226F7"/>
    <w:rsid w:val="009301AD"/>
    <w:rsid w:val="00937310"/>
    <w:rsid w:val="00947430"/>
    <w:rsid w:val="00951DD6"/>
    <w:rsid w:val="009549E5"/>
    <w:rsid w:val="009557AD"/>
    <w:rsid w:val="0096088A"/>
    <w:rsid w:val="00962596"/>
    <w:rsid w:val="00966B66"/>
    <w:rsid w:val="00974646"/>
    <w:rsid w:val="00976DAA"/>
    <w:rsid w:val="009853BF"/>
    <w:rsid w:val="009D0C9A"/>
    <w:rsid w:val="009D2252"/>
    <w:rsid w:val="009D74E4"/>
    <w:rsid w:val="009E55BF"/>
    <w:rsid w:val="009F6CEB"/>
    <w:rsid w:val="009F7A78"/>
    <w:rsid w:val="00A33685"/>
    <w:rsid w:val="00A3496B"/>
    <w:rsid w:val="00A34D1C"/>
    <w:rsid w:val="00A513C3"/>
    <w:rsid w:val="00A53E18"/>
    <w:rsid w:val="00A556C1"/>
    <w:rsid w:val="00A556E9"/>
    <w:rsid w:val="00A563A5"/>
    <w:rsid w:val="00A60C33"/>
    <w:rsid w:val="00A64059"/>
    <w:rsid w:val="00A6528F"/>
    <w:rsid w:val="00A70D67"/>
    <w:rsid w:val="00A759EF"/>
    <w:rsid w:val="00A82F44"/>
    <w:rsid w:val="00A91F6D"/>
    <w:rsid w:val="00A95041"/>
    <w:rsid w:val="00A95B0E"/>
    <w:rsid w:val="00AA1F8F"/>
    <w:rsid w:val="00AA3164"/>
    <w:rsid w:val="00AA682D"/>
    <w:rsid w:val="00AA703D"/>
    <w:rsid w:val="00AC4EEC"/>
    <w:rsid w:val="00AC76B1"/>
    <w:rsid w:val="00AE1C23"/>
    <w:rsid w:val="00AE5CA0"/>
    <w:rsid w:val="00AE70AB"/>
    <w:rsid w:val="00AF3223"/>
    <w:rsid w:val="00AF6222"/>
    <w:rsid w:val="00B07CEB"/>
    <w:rsid w:val="00B131B3"/>
    <w:rsid w:val="00B14AC2"/>
    <w:rsid w:val="00B208E1"/>
    <w:rsid w:val="00B444F6"/>
    <w:rsid w:val="00B50918"/>
    <w:rsid w:val="00B50BB7"/>
    <w:rsid w:val="00B517B4"/>
    <w:rsid w:val="00B5546D"/>
    <w:rsid w:val="00B617E8"/>
    <w:rsid w:val="00B7735E"/>
    <w:rsid w:val="00B81F6D"/>
    <w:rsid w:val="00B84004"/>
    <w:rsid w:val="00B925DD"/>
    <w:rsid w:val="00B97664"/>
    <w:rsid w:val="00BA446A"/>
    <w:rsid w:val="00BB2882"/>
    <w:rsid w:val="00BB71C1"/>
    <w:rsid w:val="00BB7FAA"/>
    <w:rsid w:val="00BC120B"/>
    <w:rsid w:val="00BC44AA"/>
    <w:rsid w:val="00BD3D69"/>
    <w:rsid w:val="00BD5A2B"/>
    <w:rsid w:val="00BD6997"/>
    <w:rsid w:val="00BE2338"/>
    <w:rsid w:val="00BE71D2"/>
    <w:rsid w:val="00BF6F16"/>
    <w:rsid w:val="00C02FAD"/>
    <w:rsid w:val="00C0333B"/>
    <w:rsid w:val="00C05B54"/>
    <w:rsid w:val="00C12AE4"/>
    <w:rsid w:val="00C1536F"/>
    <w:rsid w:val="00C2059B"/>
    <w:rsid w:val="00C2785D"/>
    <w:rsid w:val="00C3091C"/>
    <w:rsid w:val="00C31B8D"/>
    <w:rsid w:val="00C32B9B"/>
    <w:rsid w:val="00C379A3"/>
    <w:rsid w:val="00C4320A"/>
    <w:rsid w:val="00C44B7A"/>
    <w:rsid w:val="00C47CDA"/>
    <w:rsid w:val="00C51159"/>
    <w:rsid w:val="00C65761"/>
    <w:rsid w:val="00C70A69"/>
    <w:rsid w:val="00C7371A"/>
    <w:rsid w:val="00C86279"/>
    <w:rsid w:val="00C8642B"/>
    <w:rsid w:val="00C91DAC"/>
    <w:rsid w:val="00CA4B3A"/>
    <w:rsid w:val="00CB6C46"/>
    <w:rsid w:val="00CB7B6A"/>
    <w:rsid w:val="00CD2C91"/>
    <w:rsid w:val="00CD66D3"/>
    <w:rsid w:val="00CE01BA"/>
    <w:rsid w:val="00CE6F12"/>
    <w:rsid w:val="00CF179E"/>
    <w:rsid w:val="00CF3F27"/>
    <w:rsid w:val="00CF55AE"/>
    <w:rsid w:val="00CF65B0"/>
    <w:rsid w:val="00D12266"/>
    <w:rsid w:val="00D15568"/>
    <w:rsid w:val="00D209BF"/>
    <w:rsid w:val="00D215EC"/>
    <w:rsid w:val="00D31955"/>
    <w:rsid w:val="00D31E02"/>
    <w:rsid w:val="00D50D17"/>
    <w:rsid w:val="00D54814"/>
    <w:rsid w:val="00D6263C"/>
    <w:rsid w:val="00D70ED3"/>
    <w:rsid w:val="00D72340"/>
    <w:rsid w:val="00D7273E"/>
    <w:rsid w:val="00D8364B"/>
    <w:rsid w:val="00D949DD"/>
    <w:rsid w:val="00D95096"/>
    <w:rsid w:val="00DB3E24"/>
    <w:rsid w:val="00DB3E35"/>
    <w:rsid w:val="00DC1B56"/>
    <w:rsid w:val="00DD0EBE"/>
    <w:rsid w:val="00DD15E6"/>
    <w:rsid w:val="00DD209E"/>
    <w:rsid w:val="00DE198E"/>
    <w:rsid w:val="00DE22F5"/>
    <w:rsid w:val="00DF3238"/>
    <w:rsid w:val="00DF5C9F"/>
    <w:rsid w:val="00E06544"/>
    <w:rsid w:val="00E10A48"/>
    <w:rsid w:val="00E11724"/>
    <w:rsid w:val="00E11ABF"/>
    <w:rsid w:val="00E14374"/>
    <w:rsid w:val="00E206CD"/>
    <w:rsid w:val="00E2485D"/>
    <w:rsid w:val="00E25446"/>
    <w:rsid w:val="00E35C2E"/>
    <w:rsid w:val="00E361B2"/>
    <w:rsid w:val="00E5520B"/>
    <w:rsid w:val="00E62444"/>
    <w:rsid w:val="00E6324F"/>
    <w:rsid w:val="00E810F1"/>
    <w:rsid w:val="00E82CF8"/>
    <w:rsid w:val="00E90BCE"/>
    <w:rsid w:val="00E92049"/>
    <w:rsid w:val="00E92434"/>
    <w:rsid w:val="00E92B37"/>
    <w:rsid w:val="00E93F1C"/>
    <w:rsid w:val="00E93F2A"/>
    <w:rsid w:val="00E94C21"/>
    <w:rsid w:val="00EB37D7"/>
    <w:rsid w:val="00EB7CD2"/>
    <w:rsid w:val="00EC36B5"/>
    <w:rsid w:val="00EC6E54"/>
    <w:rsid w:val="00ED1F56"/>
    <w:rsid w:val="00F0090B"/>
    <w:rsid w:val="00F01468"/>
    <w:rsid w:val="00F01B1B"/>
    <w:rsid w:val="00F0204B"/>
    <w:rsid w:val="00F12EFF"/>
    <w:rsid w:val="00F26F2C"/>
    <w:rsid w:val="00F37C1C"/>
    <w:rsid w:val="00F4503B"/>
    <w:rsid w:val="00F50744"/>
    <w:rsid w:val="00F51488"/>
    <w:rsid w:val="00F52D91"/>
    <w:rsid w:val="00F57DE1"/>
    <w:rsid w:val="00F80B26"/>
    <w:rsid w:val="00F839CD"/>
    <w:rsid w:val="00FA3D1A"/>
    <w:rsid w:val="00FC6C47"/>
    <w:rsid w:val="00FC7E6F"/>
    <w:rsid w:val="00FD0067"/>
    <w:rsid w:val="00FD1D9C"/>
    <w:rsid w:val="00FE2BA8"/>
    <w:rsid w:val="00FE4356"/>
    <w:rsid w:val="00FF4A52"/>
    <w:rsid w:val="00FF63A3"/>
    <w:rsid w:val="00FF6EF1"/>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10A48"/>
    <w:pPr>
      <w:spacing w:after="200" w:line="276" w:lineRule="auto"/>
    </w:pPr>
    <w:rPr>
      <w:sz w:val="22"/>
      <w:szCs w:val="22"/>
      <w:lang w:val="en-US" w:eastAsia="en-US" w:bidi="en-US"/>
    </w:rPr>
  </w:style>
  <w:style w:type="paragraph" w:styleId="Ttulo1">
    <w:name w:val="heading 1"/>
    <w:basedOn w:val="Normal"/>
    <w:next w:val="Normal"/>
    <w:link w:val="Ttulo1Carcter"/>
    <w:uiPriority w:val="9"/>
    <w:qFormat/>
    <w:rsid w:val="00E10A48"/>
    <w:pPr>
      <w:keepNext/>
      <w:keepLines/>
      <w:spacing w:before="480" w:after="0"/>
      <w:outlineLvl w:val="0"/>
    </w:pPr>
    <w:rPr>
      <w:rFonts w:ascii="Cambria" w:eastAsia="Times New Roman" w:hAnsi="Cambria"/>
      <w:b/>
      <w:bCs/>
      <w:color w:val="365F91"/>
      <w:sz w:val="28"/>
      <w:szCs w:val="28"/>
      <w:lang w:bidi="ar-SA"/>
    </w:rPr>
  </w:style>
  <w:style w:type="paragraph" w:styleId="Ttulo2">
    <w:name w:val="heading 2"/>
    <w:basedOn w:val="Normal"/>
    <w:next w:val="Normal"/>
    <w:link w:val="Ttulo2Carcter"/>
    <w:uiPriority w:val="9"/>
    <w:qFormat/>
    <w:rsid w:val="00E10A48"/>
    <w:pPr>
      <w:keepNext/>
      <w:keepLines/>
      <w:spacing w:before="200" w:after="0"/>
      <w:outlineLvl w:val="1"/>
    </w:pPr>
    <w:rPr>
      <w:rFonts w:ascii="Cambria" w:eastAsia="Times New Roman" w:hAnsi="Cambria"/>
      <w:b/>
      <w:bCs/>
      <w:color w:val="4F81BD"/>
      <w:sz w:val="26"/>
      <w:szCs w:val="26"/>
      <w:lang w:bidi="ar-SA"/>
    </w:rPr>
  </w:style>
  <w:style w:type="paragraph" w:styleId="Ttulo3">
    <w:name w:val="heading 3"/>
    <w:basedOn w:val="Normal"/>
    <w:next w:val="Normal"/>
    <w:link w:val="Ttulo3Carcter"/>
    <w:uiPriority w:val="9"/>
    <w:qFormat/>
    <w:rsid w:val="00E10A48"/>
    <w:pPr>
      <w:keepNext/>
      <w:keepLines/>
      <w:spacing w:before="200" w:after="0"/>
      <w:outlineLvl w:val="2"/>
    </w:pPr>
    <w:rPr>
      <w:rFonts w:ascii="Cambria" w:eastAsia="Times New Roman" w:hAnsi="Cambria"/>
      <w:b/>
      <w:bCs/>
      <w:color w:val="4F81BD"/>
      <w:sz w:val="20"/>
      <w:szCs w:val="20"/>
      <w:lang w:bidi="ar-SA"/>
    </w:rPr>
  </w:style>
  <w:style w:type="paragraph" w:styleId="Ttulo4">
    <w:name w:val="heading 4"/>
    <w:basedOn w:val="Normal"/>
    <w:next w:val="Normal"/>
    <w:link w:val="Ttulo4Carcter"/>
    <w:uiPriority w:val="9"/>
    <w:qFormat/>
    <w:rsid w:val="00E10A48"/>
    <w:pPr>
      <w:keepNext/>
      <w:keepLines/>
      <w:spacing w:before="200" w:after="0"/>
      <w:outlineLvl w:val="3"/>
    </w:pPr>
    <w:rPr>
      <w:rFonts w:ascii="Cambria" w:eastAsia="Times New Roman" w:hAnsi="Cambria"/>
      <w:b/>
      <w:bCs/>
      <w:i/>
      <w:iCs/>
      <w:color w:val="4F81BD"/>
      <w:sz w:val="20"/>
      <w:szCs w:val="20"/>
      <w:lang w:bidi="ar-SA"/>
    </w:rPr>
  </w:style>
  <w:style w:type="paragraph" w:styleId="Ttulo5">
    <w:name w:val="heading 5"/>
    <w:basedOn w:val="Normal"/>
    <w:next w:val="Normal"/>
    <w:link w:val="Ttulo5Carcter"/>
    <w:uiPriority w:val="9"/>
    <w:qFormat/>
    <w:rsid w:val="00E10A48"/>
    <w:pPr>
      <w:keepNext/>
      <w:keepLines/>
      <w:spacing w:before="200" w:after="0"/>
      <w:outlineLvl w:val="4"/>
    </w:pPr>
    <w:rPr>
      <w:rFonts w:ascii="Cambria" w:eastAsia="Times New Roman" w:hAnsi="Cambria"/>
      <w:color w:val="243F60"/>
      <w:sz w:val="20"/>
      <w:szCs w:val="20"/>
      <w:lang w:bidi="ar-SA"/>
    </w:rPr>
  </w:style>
  <w:style w:type="paragraph" w:styleId="Ttulo6">
    <w:name w:val="heading 6"/>
    <w:basedOn w:val="Normal"/>
    <w:next w:val="Normal"/>
    <w:link w:val="Ttulo6Carcter"/>
    <w:uiPriority w:val="9"/>
    <w:qFormat/>
    <w:rsid w:val="00E10A48"/>
    <w:pPr>
      <w:keepNext/>
      <w:keepLines/>
      <w:spacing w:before="200" w:after="0"/>
      <w:outlineLvl w:val="5"/>
    </w:pPr>
    <w:rPr>
      <w:rFonts w:ascii="Cambria" w:eastAsia="Times New Roman" w:hAnsi="Cambria"/>
      <w:i/>
      <w:iCs/>
      <w:color w:val="243F60"/>
      <w:sz w:val="20"/>
      <w:szCs w:val="20"/>
      <w:lang w:bidi="ar-SA"/>
    </w:rPr>
  </w:style>
  <w:style w:type="paragraph" w:styleId="Ttulo7">
    <w:name w:val="heading 7"/>
    <w:basedOn w:val="Normal"/>
    <w:next w:val="Normal"/>
    <w:link w:val="Ttulo7Carcter"/>
    <w:uiPriority w:val="9"/>
    <w:qFormat/>
    <w:rsid w:val="00E10A48"/>
    <w:pPr>
      <w:keepNext/>
      <w:keepLines/>
      <w:spacing w:before="200" w:after="0"/>
      <w:outlineLvl w:val="6"/>
    </w:pPr>
    <w:rPr>
      <w:rFonts w:ascii="Cambria" w:eastAsia="Times New Roman" w:hAnsi="Cambria"/>
      <w:i/>
      <w:iCs/>
      <w:color w:val="404040"/>
      <w:sz w:val="20"/>
      <w:szCs w:val="20"/>
      <w:lang w:bidi="ar-SA"/>
    </w:rPr>
  </w:style>
  <w:style w:type="paragraph" w:styleId="Ttulo8">
    <w:name w:val="heading 8"/>
    <w:basedOn w:val="Normal"/>
    <w:next w:val="Normal"/>
    <w:link w:val="Ttulo8Carcter"/>
    <w:uiPriority w:val="9"/>
    <w:qFormat/>
    <w:rsid w:val="00E10A48"/>
    <w:pPr>
      <w:keepNext/>
      <w:keepLines/>
      <w:spacing w:before="200" w:after="0"/>
      <w:outlineLvl w:val="7"/>
    </w:pPr>
    <w:rPr>
      <w:rFonts w:ascii="Cambria" w:eastAsia="Times New Roman" w:hAnsi="Cambria"/>
      <w:color w:val="4F81BD"/>
      <w:sz w:val="20"/>
      <w:szCs w:val="20"/>
      <w:lang w:bidi="ar-SA"/>
    </w:rPr>
  </w:style>
  <w:style w:type="paragraph" w:styleId="Ttulo9">
    <w:name w:val="heading 9"/>
    <w:basedOn w:val="Normal"/>
    <w:next w:val="Normal"/>
    <w:link w:val="Ttulo9Carcter"/>
    <w:uiPriority w:val="9"/>
    <w:qFormat/>
    <w:rsid w:val="00E10A48"/>
    <w:pPr>
      <w:keepNext/>
      <w:keepLines/>
      <w:spacing w:before="200" w:after="0"/>
      <w:outlineLvl w:val="8"/>
    </w:pPr>
    <w:rPr>
      <w:rFonts w:ascii="Cambria" w:eastAsia="Times New Roman" w:hAnsi="Cambria"/>
      <w:i/>
      <w:iCs/>
      <w:color w:val="404040"/>
      <w:sz w:val="20"/>
      <w:szCs w:val="20"/>
      <w:lang w:bidi="ar-SA"/>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cter">
    <w:name w:val="Título 1 Carácter"/>
    <w:link w:val="Ttulo1"/>
    <w:uiPriority w:val="9"/>
    <w:rsid w:val="00E10A48"/>
    <w:rPr>
      <w:rFonts w:ascii="Cambria" w:eastAsia="Times New Roman" w:hAnsi="Cambria" w:cs="Times New Roman"/>
      <w:b/>
      <w:bCs/>
      <w:color w:val="365F91"/>
      <w:sz w:val="28"/>
      <w:szCs w:val="28"/>
    </w:rPr>
  </w:style>
  <w:style w:type="character" w:customStyle="1" w:styleId="Ttulo2Carcter">
    <w:name w:val="Título 2 Carácter"/>
    <w:link w:val="Ttulo2"/>
    <w:uiPriority w:val="9"/>
    <w:rsid w:val="00E10A48"/>
    <w:rPr>
      <w:rFonts w:ascii="Cambria" w:eastAsia="Times New Roman" w:hAnsi="Cambria" w:cs="Times New Roman"/>
      <w:b/>
      <w:bCs/>
      <w:color w:val="4F81BD"/>
      <w:sz w:val="26"/>
      <w:szCs w:val="26"/>
    </w:rPr>
  </w:style>
  <w:style w:type="character" w:customStyle="1" w:styleId="Ttulo3Carcter">
    <w:name w:val="Título 3 Carácter"/>
    <w:link w:val="Ttulo3"/>
    <w:uiPriority w:val="9"/>
    <w:rsid w:val="00E10A48"/>
    <w:rPr>
      <w:rFonts w:ascii="Cambria" w:eastAsia="Times New Roman" w:hAnsi="Cambria" w:cs="Times New Roman"/>
      <w:b/>
      <w:bCs/>
      <w:color w:val="4F81BD"/>
    </w:rPr>
  </w:style>
  <w:style w:type="character" w:customStyle="1" w:styleId="Ttulo4Carcter">
    <w:name w:val="Título 4 Carácter"/>
    <w:link w:val="Ttulo4"/>
    <w:uiPriority w:val="9"/>
    <w:rsid w:val="00E10A48"/>
    <w:rPr>
      <w:rFonts w:ascii="Cambria" w:eastAsia="Times New Roman" w:hAnsi="Cambria" w:cs="Times New Roman"/>
      <w:b/>
      <w:bCs/>
      <w:i/>
      <w:iCs/>
      <w:color w:val="4F81BD"/>
    </w:rPr>
  </w:style>
  <w:style w:type="character" w:customStyle="1" w:styleId="Ttulo5Carcter">
    <w:name w:val="Título 5 Carácter"/>
    <w:link w:val="Ttulo5"/>
    <w:uiPriority w:val="9"/>
    <w:rsid w:val="00E10A48"/>
    <w:rPr>
      <w:rFonts w:ascii="Cambria" w:eastAsia="Times New Roman" w:hAnsi="Cambria" w:cs="Times New Roman"/>
      <w:color w:val="243F60"/>
    </w:rPr>
  </w:style>
  <w:style w:type="character" w:customStyle="1" w:styleId="Ttulo6Carcter">
    <w:name w:val="Título 6 Carácter"/>
    <w:link w:val="Ttulo6"/>
    <w:uiPriority w:val="9"/>
    <w:rsid w:val="00E10A48"/>
    <w:rPr>
      <w:rFonts w:ascii="Cambria" w:eastAsia="Times New Roman" w:hAnsi="Cambria" w:cs="Times New Roman"/>
      <w:i/>
      <w:iCs/>
      <w:color w:val="243F60"/>
    </w:rPr>
  </w:style>
  <w:style w:type="character" w:customStyle="1" w:styleId="Ttulo7Carcter">
    <w:name w:val="Título 7 Carácter"/>
    <w:link w:val="Ttulo7"/>
    <w:uiPriority w:val="9"/>
    <w:rsid w:val="00E10A48"/>
    <w:rPr>
      <w:rFonts w:ascii="Cambria" w:eastAsia="Times New Roman" w:hAnsi="Cambria" w:cs="Times New Roman"/>
      <w:i/>
      <w:iCs/>
      <w:color w:val="404040"/>
    </w:rPr>
  </w:style>
  <w:style w:type="character" w:customStyle="1" w:styleId="Ttulo8Carcter">
    <w:name w:val="Título 8 Carácter"/>
    <w:link w:val="Ttulo8"/>
    <w:uiPriority w:val="9"/>
    <w:rsid w:val="00E10A48"/>
    <w:rPr>
      <w:rFonts w:ascii="Cambria" w:eastAsia="Times New Roman" w:hAnsi="Cambria" w:cs="Times New Roman"/>
      <w:color w:val="4F81BD"/>
      <w:sz w:val="20"/>
      <w:szCs w:val="20"/>
    </w:rPr>
  </w:style>
  <w:style w:type="character" w:customStyle="1" w:styleId="Ttulo9Carcter">
    <w:name w:val="Título 9 Carácter"/>
    <w:link w:val="Ttulo9"/>
    <w:uiPriority w:val="9"/>
    <w:rsid w:val="00E10A48"/>
    <w:rPr>
      <w:rFonts w:ascii="Cambria" w:eastAsia="Times New Roman" w:hAnsi="Cambria" w:cs="Times New Roman"/>
      <w:i/>
      <w:iCs/>
      <w:color w:val="404040"/>
      <w:sz w:val="20"/>
      <w:szCs w:val="20"/>
    </w:rPr>
  </w:style>
  <w:style w:type="paragraph" w:styleId="Legenda">
    <w:name w:val="caption"/>
    <w:basedOn w:val="Normal"/>
    <w:next w:val="Normal"/>
    <w:uiPriority w:val="35"/>
    <w:qFormat/>
    <w:rsid w:val="00E10A48"/>
    <w:pPr>
      <w:spacing w:line="240" w:lineRule="auto"/>
    </w:pPr>
    <w:rPr>
      <w:b/>
      <w:bCs/>
      <w:color w:val="4F81BD"/>
      <w:sz w:val="18"/>
      <w:szCs w:val="18"/>
    </w:rPr>
  </w:style>
  <w:style w:type="paragraph" w:styleId="Ttulo">
    <w:name w:val="Title"/>
    <w:basedOn w:val="Normal"/>
    <w:next w:val="Normal"/>
    <w:link w:val="TtuloCarcter"/>
    <w:uiPriority w:val="10"/>
    <w:qFormat/>
    <w:rsid w:val="00E10A48"/>
    <w:pPr>
      <w:pBdr>
        <w:bottom w:val="single" w:sz="8" w:space="4" w:color="4F81BD"/>
      </w:pBdr>
      <w:spacing w:after="300" w:line="240" w:lineRule="auto"/>
      <w:contextualSpacing/>
    </w:pPr>
    <w:rPr>
      <w:rFonts w:ascii="Cambria" w:eastAsia="Times New Roman" w:hAnsi="Cambria"/>
      <w:color w:val="17365D"/>
      <w:spacing w:val="5"/>
      <w:kern w:val="28"/>
      <w:sz w:val="52"/>
      <w:szCs w:val="52"/>
      <w:lang w:bidi="ar-SA"/>
    </w:rPr>
  </w:style>
  <w:style w:type="character" w:customStyle="1" w:styleId="TtuloCarcter">
    <w:name w:val="Título Carácter"/>
    <w:link w:val="Ttulo"/>
    <w:uiPriority w:val="10"/>
    <w:rsid w:val="00E10A48"/>
    <w:rPr>
      <w:rFonts w:ascii="Cambria" w:eastAsia="Times New Roman" w:hAnsi="Cambria" w:cs="Times New Roman"/>
      <w:color w:val="17365D"/>
      <w:spacing w:val="5"/>
      <w:kern w:val="28"/>
      <w:sz w:val="52"/>
      <w:szCs w:val="52"/>
    </w:rPr>
  </w:style>
  <w:style w:type="paragraph" w:styleId="Subttulo">
    <w:name w:val="Subtitle"/>
    <w:basedOn w:val="Normal"/>
    <w:next w:val="Normal"/>
    <w:link w:val="SubttuloCarcter"/>
    <w:uiPriority w:val="11"/>
    <w:qFormat/>
    <w:rsid w:val="00E10A48"/>
    <w:pPr>
      <w:numPr>
        <w:ilvl w:val="1"/>
      </w:numPr>
    </w:pPr>
    <w:rPr>
      <w:rFonts w:ascii="Cambria" w:eastAsia="Times New Roman" w:hAnsi="Cambria"/>
      <w:i/>
      <w:iCs/>
      <w:color w:val="4F81BD"/>
      <w:spacing w:val="15"/>
      <w:sz w:val="24"/>
      <w:szCs w:val="24"/>
      <w:lang w:bidi="ar-SA"/>
    </w:rPr>
  </w:style>
  <w:style w:type="character" w:customStyle="1" w:styleId="SubttuloCarcter">
    <w:name w:val="Subtítulo Carácter"/>
    <w:link w:val="Subttulo"/>
    <w:uiPriority w:val="11"/>
    <w:rsid w:val="00E10A48"/>
    <w:rPr>
      <w:rFonts w:ascii="Cambria" w:eastAsia="Times New Roman" w:hAnsi="Cambria" w:cs="Times New Roman"/>
      <w:i/>
      <w:iCs/>
      <w:color w:val="4F81BD"/>
      <w:spacing w:val="15"/>
      <w:sz w:val="24"/>
      <w:szCs w:val="24"/>
    </w:rPr>
  </w:style>
  <w:style w:type="character" w:styleId="Forte">
    <w:name w:val="Strong"/>
    <w:uiPriority w:val="22"/>
    <w:qFormat/>
    <w:rsid w:val="00E10A48"/>
    <w:rPr>
      <w:b/>
      <w:bCs/>
    </w:rPr>
  </w:style>
  <w:style w:type="character" w:styleId="nfase">
    <w:name w:val="Emphasis"/>
    <w:uiPriority w:val="20"/>
    <w:qFormat/>
    <w:rsid w:val="00E10A48"/>
    <w:rPr>
      <w:i/>
      <w:iCs/>
    </w:rPr>
  </w:style>
  <w:style w:type="paragraph" w:styleId="SemEspaamento">
    <w:name w:val="No Spacing"/>
    <w:link w:val="SemEspaamentoCarcter"/>
    <w:uiPriority w:val="1"/>
    <w:qFormat/>
    <w:rsid w:val="00E10A48"/>
    <w:rPr>
      <w:sz w:val="22"/>
      <w:szCs w:val="22"/>
      <w:lang w:val="en-US" w:eastAsia="en-US" w:bidi="en-US"/>
    </w:rPr>
  </w:style>
  <w:style w:type="character" w:customStyle="1" w:styleId="SemEspaamentoCarcter">
    <w:name w:val="Sem Espaçamento Carácter"/>
    <w:link w:val="SemEspaamento"/>
    <w:uiPriority w:val="1"/>
    <w:rsid w:val="00E10A48"/>
    <w:rPr>
      <w:sz w:val="22"/>
      <w:szCs w:val="22"/>
      <w:lang w:val="en-US" w:eastAsia="en-US" w:bidi="en-US"/>
    </w:rPr>
  </w:style>
  <w:style w:type="paragraph" w:styleId="PargrafodaLista">
    <w:name w:val="List Paragraph"/>
    <w:basedOn w:val="Normal"/>
    <w:uiPriority w:val="34"/>
    <w:qFormat/>
    <w:rsid w:val="00E10A48"/>
    <w:pPr>
      <w:ind w:left="720"/>
      <w:contextualSpacing/>
    </w:pPr>
  </w:style>
  <w:style w:type="paragraph" w:styleId="Citao">
    <w:name w:val="Quote"/>
    <w:basedOn w:val="Normal"/>
    <w:next w:val="Normal"/>
    <w:link w:val="CitaoCarcter"/>
    <w:uiPriority w:val="29"/>
    <w:qFormat/>
    <w:rsid w:val="00E10A48"/>
    <w:rPr>
      <w:i/>
      <w:iCs/>
      <w:color w:val="000000"/>
      <w:sz w:val="20"/>
      <w:szCs w:val="20"/>
      <w:lang w:bidi="ar-SA"/>
    </w:rPr>
  </w:style>
  <w:style w:type="character" w:customStyle="1" w:styleId="CitaoCarcter">
    <w:name w:val="Citação Carácter"/>
    <w:link w:val="Citao"/>
    <w:uiPriority w:val="29"/>
    <w:rsid w:val="00E10A48"/>
    <w:rPr>
      <w:i/>
      <w:iCs/>
      <w:color w:val="000000"/>
    </w:rPr>
  </w:style>
  <w:style w:type="paragraph" w:styleId="CitaoIntensa">
    <w:name w:val="Intense Quote"/>
    <w:basedOn w:val="Normal"/>
    <w:next w:val="Normal"/>
    <w:link w:val="CitaoIntensaCarcter"/>
    <w:uiPriority w:val="30"/>
    <w:qFormat/>
    <w:rsid w:val="00E10A48"/>
    <w:pPr>
      <w:pBdr>
        <w:bottom w:val="single" w:sz="4" w:space="4" w:color="4F81BD"/>
      </w:pBdr>
      <w:spacing w:before="200" w:after="280"/>
      <w:ind w:left="936" w:right="936"/>
    </w:pPr>
    <w:rPr>
      <w:b/>
      <w:bCs/>
      <w:i/>
      <w:iCs/>
      <w:color w:val="4F81BD"/>
      <w:sz w:val="20"/>
      <w:szCs w:val="20"/>
      <w:lang w:bidi="ar-SA"/>
    </w:rPr>
  </w:style>
  <w:style w:type="character" w:customStyle="1" w:styleId="CitaoIntensaCarcter">
    <w:name w:val="Citação Intensa Carácter"/>
    <w:link w:val="CitaoIntensa"/>
    <w:uiPriority w:val="30"/>
    <w:rsid w:val="00E10A48"/>
    <w:rPr>
      <w:b/>
      <w:bCs/>
      <w:i/>
      <w:iCs/>
      <w:color w:val="4F81BD"/>
    </w:rPr>
  </w:style>
  <w:style w:type="character" w:styleId="nfaseDiscreto">
    <w:name w:val="Subtle Emphasis"/>
    <w:uiPriority w:val="19"/>
    <w:qFormat/>
    <w:rsid w:val="00E10A48"/>
    <w:rPr>
      <w:i/>
      <w:iCs/>
      <w:color w:val="808080"/>
    </w:rPr>
  </w:style>
  <w:style w:type="character" w:styleId="nfaseIntenso">
    <w:name w:val="Intense Emphasis"/>
    <w:uiPriority w:val="21"/>
    <w:qFormat/>
    <w:rsid w:val="00E10A48"/>
    <w:rPr>
      <w:b/>
      <w:bCs/>
      <w:i/>
      <w:iCs/>
      <w:color w:val="4F81BD"/>
    </w:rPr>
  </w:style>
  <w:style w:type="character" w:styleId="RefernciaDiscreta">
    <w:name w:val="Subtle Reference"/>
    <w:uiPriority w:val="31"/>
    <w:qFormat/>
    <w:rsid w:val="00E10A48"/>
    <w:rPr>
      <w:smallCaps/>
      <w:color w:val="C0504D"/>
      <w:u w:val="single"/>
    </w:rPr>
  </w:style>
  <w:style w:type="character" w:styleId="RefernciaIntensa">
    <w:name w:val="Intense Reference"/>
    <w:uiPriority w:val="32"/>
    <w:qFormat/>
    <w:rsid w:val="00E10A48"/>
    <w:rPr>
      <w:b/>
      <w:bCs/>
      <w:smallCaps/>
      <w:color w:val="C0504D"/>
      <w:spacing w:val="5"/>
      <w:u w:val="single"/>
    </w:rPr>
  </w:style>
  <w:style w:type="character" w:styleId="TtulodoLivro">
    <w:name w:val="Book Title"/>
    <w:uiPriority w:val="33"/>
    <w:qFormat/>
    <w:rsid w:val="00E10A48"/>
    <w:rPr>
      <w:b/>
      <w:bCs/>
      <w:smallCaps/>
      <w:spacing w:val="5"/>
    </w:rPr>
  </w:style>
  <w:style w:type="paragraph" w:styleId="Ttulodondice">
    <w:name w:val="TOC Heading"/>
    <w:basedOn w:val="Ttulo1"/>
    <w:next w:val="Normal"/>
    <w:uiPriority w:val="39"/>
    <w:qFormat/>
    <w:rsid w:val="00E10A48"/>
    <w:pPr>
      <w:outlineLvl w:val="9"/>
    </w:pPr>
  </w:style>
  <w:style w:type="table" w:styleId="Tabelacomgrelha">
    <w:name w:val="Table Grid"/>
    <w:basedOn w:val="Tabelanormal"/>
    <w:uiPriority w:val="59"/>
    <w:rsid w:val="00C2059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bealho">
    <w:name w:val="header"/>
    <w:basedOn w:val="Normal"/>
    <w:link w:val="CabealhoCarcter"/>
    <w:uiPriority w:val="99"/>
    <w:unhideWhenUsed/>
    <w:rsid w:val="00976DAA"/>
    <w:pPr>
      <w:tabs>
        <w:tab w:val="center" w:pos="4252"/>
        <w:tab w:val="right" w:pos="8504"/>
      </w:tabs>
    </w:pPr>
  </w:style>
  <w:style w:type="character" w:customStyle="1" w:styleId="CabealhoCarcter">
    <w:name w:val="Cabeçalho Carácter"/>
    <w:link w:val="Cabealho"/>
    <w:uiPriority w:val="99"/>
    <w:rsid w:val="00976DAA"/>
    <w:rPr>
      <w:sz w:val="22"/>
      <w:szCs w:val="22"/>
      <w:lang w:val="en-US" w:eastAsia="en-US" w:bidi="en-US"/>
    </w:rPr>
  </w:style>
  <w:style w:type="paragraph" w:styleId="Rodap">
    <w:name w:val="footer"/>
    <w:basedOn w:val="Normal"/>
    <w:link w:val="RodapCarcter"/>
    <w:uiPriority w:val="99"/>
    <w:unhideWhenUsed/>
    <w:rsid w:val="00976DAA"/>
    <w:pPr>
      <w:tabs>
        <w:tab w:val="center" w:pos="4252"/>
        <w:tab w:val="right" w:pos="8504"/>
      </w:tabs>
    </w:pPr>
  </w:style>
  <w:style w:type="character" w:customStyle="1" w:styleId="RodapCarcter">
    <w:name w:val="Rodapé Carácter"/>
    <w:link w:val="Rodap"/>
    <w:uiPriority w:val="99"/>
    <w:rsid w:val="00976DAA"/>
    <w:rPr>
      <w:sz w:val="22"/>
      <w:szCs w:val="22"/>
      <w:lang w:val="en-US" w:eastAsia="en-US" w:bidi="en-US"/>
    </w:rPr>
  </w:style>
  <w:style w:type="paragraph" w:styleId="Textodebalo">
    <w:name w:val="Balloon Text"/>
    <w:basedOn w:val="Normal"/>
    <w:link w:val="TextodebaloCarcter"/>
    <w:uiPriority w:val="99"/>
    <w:semiHidden/>
    <w:unhideWhenUsed/>
    <w:rsid w:val="00976DAA"/>
    <w:pPr>
      <w:spacing w:after="0" w:line="240" w:lineRule="auto"/>
    </w:pPr>
    <w:rPr>
      <w:rFonts w:ascii="Tahoma" w:hAnsi="Tahoma" w:cs="Tahoma"/>
      <w:sz w:val="16"/>
      <w:szCs w:val="16"/>
    </w:rPr>
  </w:style>
  <w:style w:type="character" w:customStyle="1" w:styleId="TextodebaloCarcter">
    <w:name w:val="Texto de balão Carácter"/>
    <w:link w:val="Textodebalo"/>
    <w:uiPriority w:val="99"/>
    <w:semiHidden/>
    <w:rsid w:val="00976DAA"/>
    <w:rPr>
      <w:rFonts w:ascii="Tahoma" w:hAnsi="Tahoma" w:cs="Tahoma"/>
      <w:sz w:val="16"/>
      <w:szCs w:val="16"/>
      <w:lang w:val="en-US" w:eastAsia="en-US" w:bidi="en-US"/>
    </w:rPr>
  </w:style>
  <w:style w:type="table" w:customStyle="1" w:styleId="SombreadoClaro-Cor11">
    <w:name w:val="Sombreado Claro - Cor 11"/>
    <w:basedOn w:val="Tabelanormal"/>
    <w:uiPriority w:val="60"/>
    <w:rsid w:val="00847DC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1">
    <w:name w:val="Sombreado Claro1"/>
    <w:basedOn w:val="Tabelanormal"/>
    <w:uiPriority w:val="60"/>
    <w:rsid w:val="00847DC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iperligao">
    <w:name w:val="Hyperlink"/>
    <w:uiPriority w:val="99"/>
    <w:semiHidden/>
    <w:unhideWhenUsed/>
    <w:rsid w:val="008B6A87"/>
    <w:rPr>
      <w:color w:val="0000FF"/>
      <w:u w:val="single"/>
    </w:rPr>
  </w:style>
  <w:style w:type="character" w:customStyle="1" w:styleId="apple-converted-space">
    <w:name w:val="apple-converted-space"/>
    <w:basedOn w:val="Tipodeletrapredefinidodopargrafo"/>
    <w:rsid w:val="00D54814"/>
  </w:style>
  <w:style w:type="paragraph" w:styleId="Textosimples">
    <w:name w:val="Plain Text"/>
    <w:basedOn w:val="Normal"/>
    <w:link w:val="TextosimplesCarcter"/>
    <w:uiPriority w:val="99"/>
    <w:semiHidden/>
    <w:unhideWhenUsed/>
    <w:rsid w:val="00515EAE"/>
    <w:pPr>
      <w:spacing w:after="0" w:line="240" w:lineRule="auto"/>
    </w:pPr>
    <w:rPr>
      <w:rFonts w:ascii="Consolas" w:hAnsi="Consolas"/>
      <w:sz w:val="21"/>
      <w:szCs w:val="21"/>
      <w:lang w:bidi="ar-SA"/>
    </w:rPr>
  </w:style>
  <w:style w:type="character" w:customStyle="1" w:styleId="TextosimplesCarcter">
    <w:name w:val="Texto simples Carácter"/>
    <w:link w:val="Textosimples"/>
    <w:uiPriority w:val="99"/>
    <w:semiHidden/>
    <w:rsid w:val="00515EAE"/>
    <w:rPr>
      <w:rFonts w:ascii="Consolas" w:eastAsia="Calibri" w:hAnsi="Consolas" w:cs="Times New Roman"/>
      <w:sz w:val="21"/>
      <w:szCs w:val="21"/>
      <w:lang w:eastAsia="en-US"/>
    </w:rPr>
  </w:style>
  <w:style w:type="paragraph" w:customStyle="1" w:styleId="Default">
    <w:name w:val="Default"/>
    <w:rsid w:val="00AA1F8F"/>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611543100">
      <w:bodyDiv w:val="1"/>
      <w:marLeft w:val="0"/>
      <w:marRight w:val="0"/>
      <w:marTop w:val="0"/>
      <w:marBottom w:val="0"/>
      <w:divBdr>
        <w:top w:val="none" w:sz="0" w:space="0" w:color="auto"/>
        <w:left w:val="none" w:sz="0" w:space="0" w:color="auto"/>
        <w:bottom w:val="none" w:sz="0" w:space="0" w:color="auto"/>
        <w:right w:val="none" w:sz="0" w:space="0" w:color="auto"/>
      </w:divBdr>
    </w:div>
    <w:div w:id="185349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bates.parlamento.p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8ECE4-8B55-42D4-BBD8-91A7C288D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3659</Words>
  <Characters>19764</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Assembleia da República</Company>
  <LinksUpToDate>false</LinksUpToDate>
  <CharactersWithSpaces>23377</CharactersWithSpaces>
  <SharedDoc>false</SharedDoc>
  <HLinks>
    <vt:vector size="6" baseType="variant">
      <vt:variant>
        <vt:i4>131159</vt:i4>
      </vt:variant>
      <vt:variant>
        <vt:i4>0</vt:i4>
      </vt:variant>
      <vt:variant>
        <vt:i4>0</vt:i4>
      </vt:variant>
      <vt:variant>
        <vt:i4>5</vt:i4>
      </vt:variant>
      <vt:variant>
        <vt:lpwstr>http://debates.parlamento.pt/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abarbosa</dc:creator>
  <cp:lastModifiedBy>mandrade</cp:lastModifiedBy>
  <cp:revision>4</cp:revision>
  <cp:lastPrinted>2014-10-08T15:44:00Z</cp:lastPrinted>
  <dcterms:created xsi:type="dcterms:W3CDTF">2014-10-08T15:43:00Z</dcterms:created>
  <dcterms:modified xsi:type="dcterms:W3CDTF">2014-10-08T15:45:00Z</dcterms:modified>
</cp:coreProperties>
</file>